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2024年度市属国有企业国有资本收益预算申报表</w:t>
      </w:r>
    </w:p>
    <w:p>
      <w:pPr>
        <w:ind w:firstLine="12390" w:firstLineChars="59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单位：万元</w:t>
      </w:r>
    </w:p>
    <w:tbl>
      <w:tblPr>
        <w:tblStyle w:val="10"/>
        <w:tblW w:w="14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31"/>
        <w:gridCol w:w="975"/>
        <w:gridCol w:w="712"/>
        <w:gridCol w:w="713"/>
        <w:gridCol w:w="731"/>
        <w:gridCol w:w="859"/>
        <w:gridCol w:w="1104"/>
        <w:gridCol w:w="941"/>
        <w:gridCol w:w="1337"/>
        <w:gridCol w:w="1063"/>
        <w:gridCol w:w="1174"/>
        <w:gridCol w:w="1105"/>
        <w:gridCol w:w="1072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国有资产占比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资产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负债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归属于母公司所有者权益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年初未分配利润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归属于母公司所有者的净利润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国有资本收益上缴基数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利润上缴比例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国有资本收益申报金额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vertAlign w:val="baseline"/>
                <w:lang w:val="en-US" w:eastAsia="zh-CN"/>
              </w:rPr>
              <w:t>应交国有资本收益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填报人：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77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单位盖章</w:t>
            </w:r>
          </w:p>
        </w:tc>
      </w:tr>
    </w:tbl>
    <w:p>
      <w:pPr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1、企业性质包括国有独资企业、国有控股企业、国有参股企业</w:t>
      </w:r>
      <w:r>
        <w:rPr>
          <w:rFonts w:hint="eastAsia"/>
          <w:sz w:val="21"/>
          <w:szCs w:val="21"/>
          <w:lang w:val="en-US" w:eastAsia="zh-CN"/>
        </w:rPr>
        <w:t>；</w:t>
      </w:r>
    </w:p>
    <w:p>
      <w:pPr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2、有关财务数据根据20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default"/>
          <w:sz w:val="21"/>
          <w:szCs w:val="21"/>
          <w:lang w:val="en-US" w:eastAsia="zh-CN"/>
        </w:rPr>
        <w:t>年度企业财务会计决算报表填列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3、国有资本收益上缴基数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default"/>
          <w:sz w:val="21"/>
          <w:szCs w:val="21"/>
          <w:lang w:val="en-US" w:eastAsia="zh-CN"/>
        </w:rPr>
        <w:t>归属于母公司所有者的净利润</w:t>
      </w:r>
      <w:r>
        <w:rPr>
          <w:rFonts w:hint="eastAsia"/>
          <w:sz w:val="21"/>
          <w:szCs w:val="21"/>
          <w:lang w:val="en-US" w:eastAsia="zh-CN"/>
        </w:rPr>
        <w:t>-</w:t>
      </w:r>
      <w:r>
        <w:rPr>
          <w:rFonts w:hint="default"/>
          <w:sz w:val="21"/>
          <w:szCs w:val="21"/>
          <w:lang w:val="en-US" w:eastAsia="zh-CN"/>
        </w:rPr>
        <w:t>以前年度未弥补亏损</w:t>
      </w:r>
      <w:r>
        <w:rPr>
          <w:rFonts w:hint="eastAsia"/>
          <w:sz w:val="21"/>
          <w:szCs w:val="21"/>
          <w:lang w:val="en-US" w:eastAsia="zh-CN"/>
        </w:rPr>
        <w:t>-</w:t>
      </w:r>
      <w:r>
        <w:rPr>
          <w:rFonts w:hint="default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default"/>
          <w:sz w:val="21"/>
          <w:szCs w:val="21"/>
          <w:lang w:val="en-US" w:eastAsia="zh-CN"/>
        </w:rPr>
        <w:t>年提取的法定公积金。其中，以前年度未弥补亏损以企业20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default"/>
          <w:sz w:val="21"/>
          <w:szCs w:val="21"/>
          <w:lang w:val="en-US" w:eastAsia="zh-CN"/>
        </w:rPr>
        <w:t>年年初未分配利润为准</w:t>
      </w:r>
      <w:r>
        <w:rPr>
          <w:rFonts w:hint="eastAsia"/>
          <w:sz w:val="21"/>
          <w:szCs w:val="21"/>
          <w:lang w:val="en-US" w:eastAsia="zh-CN"/>
        </w:rPr>
        <w:t>；</w:t>
      </w:r>
    </w:p>
    <w:p>
      <w:pPr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4、仅国有独资企业需要填写利润上缴比例，按照上缴基数×上缴比例申报国有资本收益，并向主管预算单位提供20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default"/>
          <w:sz w:val="21"/>
          <w:szCs w:val="21"/>
          <w:lang w:val="en-US" w:eastAsia="zh-CN"/>
        </w:rPr>
        <w:t>年度企业财务会计决算报表</w:t>
      </w:r>
      <w:r>
        <w:rPr>
          <w:rFonts w:hint="eastAsia"/>
          <w:sz w:val="21"/>
          <w:szCs w:val="21"/>
          <w:lang w:val="en-US" w:eastAsia="zh-CN"/>
        </w:rPr>
        <w:t>；</w:t>
      </w:r>
    </w:p>
    <w:p>
      <w:pPr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5、</w:t>
      </w:r>
      <w:r>
        <w:rPr>
          <w:rFonts w:hint="default"/>
          <w:spacing w:val="-6"/>
          <w:sz w:val="21"/>
          <w:szCs w:val="21"/>
          <w:lang w:val="en-US" w:eastAsia="zh-CN"/>
        </w:rPr>
        <w:t>国有控股、参股企业按利润分配方案申报应分配给国有股东的国有资本收益，并向主管预算单位提供20</w:t>
      </w:r>
      <w:r>
        <w:rPr>
          <w:rFonts w:hint="eastAsia"/>
          <w:spacing w:val="-6"/>
          <w:sz w:val="21"/>
          <w:szCs w:val="21"/>
          <w:lang w:val="en-US" w:eastAsia="zh-CN"/>
        </w:rPr>
        <w:t>22</w:t>
      </w:r>
      <w:r>
        <w:rPr>
          <w:rFonts w:hint="default"/>
          <w:spacing w:val="-6"/>
          <w:sz w:val="21"/>
          <w:szCs w:val="21"/>
          <w:lang w:val="en-US" w:eastAsia="zh-CN"/>
        </w:rPr>
        <w:t>年度企业财务会计决算报表及利润分配方案</w:t>
      </w:r>
      <w:r>
        <w:rPr>
          <w:rFonts w:hint="eastAsia"/>
          <w:spacing w:val="-6"/>
          <w:sz w:val="21"/>
          <w:szCs w:val="21"/>
          <w:lang w:val="en-US" w:eastAsia="zh-CN"/>
        </w:rPr>
        <w:t>；</w:t>
      </w:r>
    </w:p>
    <w:p>
      <w:pPr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6、国有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一级</w:t>
      </w:r>
      <w:r>
        <w:rPr>
          <w:rFonts w:hint="eastAsia"/>
          <w:sz w:val="21"/>
          <w:szCs w:val="21"/>
          <w:lang w:val="en-US" w:eastAsia="zh-CN"/>
        </w:rPr>
        <w:t>）</w:t>
      </w:r>
      <w:r>
        <w:rPr>
          <w:rFonts w:hint="default"/>
          <w:sz w:val="21"/>
          <w:szCs w:val="21"/>
          <w:lang w:val="en-US" w:eastAsia="zh-CN"/>
        </w:rPr>
        <w:t>企业进行产权转让，应</w:t>
      </w:r>
      <w:r>
        <w:rPr>
          <w:rFonts w:hint="eastAsia"/>
          <w:sz w:val="21"/>
          <w:szCs w:val="21"/>
          <w:lang w:val="en-US" w:eastAsia="zh-CN"/>
        </w:rPr>
        <w:t>另行</w:t>
      </w:r>
      <w:r>
        <w:rPr>
          <w:rFonts w:hint="default"/>
          <w:sz w:val="21"/>
          <w:szCs w:val="21"/>
          <w:lang w:val="en-US" w:eastAsia="zh-CN"/>
        </w:rPr>
        <w:t>全额申报产权转让收入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国有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一级</w:t>
      </w:r>
      <w:r>
        <w:rPr>
          <w:rFonts w:hint="eastAsia"/>
          <w:sz w:val="21"/>
          <w:szCs w:val="21"/>
          <w:lang w:val="en-US" w:eastAsia="zh-CN"/>
        </w:rPr>
        <w:t>）</w:t>
      </w:r>
      <w:r>
        <w:rPr>
          <w:rFonts w:hint="default"/>
          <w:sz w:val="21"/>
          <w:szCs w:val="21"/>
          <w:lang w:val="en-US" w:eastAsia="zh-CN"/>
        </w:rPr>
        <w:t>企业进行清算，应</w:t>
      </w:r>
      <w:r>
        <w:rPr>
          <w:rFonts w:hint="eastAsia"/>
          <w:sz w:val="21"/>
          <w:szCs w:val="21"/>
          <w:lang w:val="en-US" w:eastAsia="zh-CN"/>
        </w:rPr>
        <w:t>另行</w:t>
      </w:r>
      <w:r>
        <w:rPr>
          <w:rFonts w:hint="default"/>
          <w:sz w:val="21"/>
          <w:szCs w:val="21"/>
          <w:lang w:val="en-US" w:eastAsia="zh-CN"/>
        </w:rPr>
        <w:t>全额申报清算收入扣除清算费用以后的净值。相关企业还应向主管部门提供产权转让、清算相关批复、审计等资料。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U5MzUyMjBhNmMwZGViMzE2MDFjZDAxZjJhZTkifQ=="/>
  </w:docVars>
  <w:rsids>
    <w:rsidRoot w:val="48B728A4"/>
    <w:rsid w:val="060137FC"/>
    <w:rsid w:val="0B954DA7"/>
    <w:rsid w:val="0C11429F"/>
    <w:rsid w:val="1A2B4756"/>
    <w:rsid w:val="1BEA0DC3"/>
    <w:rsid w:val="1DFB4D50"/>
    <w:rsid w:val="1EA65899"/>
    <w:rsid w:val="20B61A89"/>
    <w:rsid w:val="212D1916"/>
    <w:rsid w:val="21856317"/>
    <w:rsid w:val="28440314"/>
    <w:rsid w:val="2CE100A0"/>
    <w:rsid w:val="2D541B61"/>
    <w:rsid w:val="31376DE6"/>
    <w:rsid w:val="32934045"/>
    <w:rsid w:val="34831F8F"/>
    <w:rsid w:val="399D42EB"/>
    <w:rsid w:val="3D05462A"/>
    <w:rsid w:val="40327B7F"/>
    <w:rsid w:val="41FD27F2"/>
    <w:rsid w:val="438E26F4"/>
    <w:rsid w:val="44114923"/>
    <w:rsid w:val="469E65F0"/>
    <w:rsid w:val="48B728A4"/>
    <w:rsid w:val="583769EE"/>
    <w:rsid w:val="5AEF7B43"/>
    <w:rsid w:val="5B1265AE"/>
    <w:rsid w:val="62433455"/>
    <w:rsid w:val="62BF21A8"/>
    <w:rsid w:val="67E33B36"/>
    <w:rsid w:val="681C096B"/>
    <w:rsid w:val="68915F8A"/>
    <w:rsid w:val="6B45379D"/>
    <w:rsid w:val="72E07E10"/>
    <w:rsid w:val="75C2498F"/>
    <w:rsid w:val="7B192902"/>
    <w:rsid w:val="7CD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Arial" w:hAnsi="Arial" w:eastAsia="方正小标宋_GBK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562" w:firstLineChars="200"/>
      <w:jc w:val="left"/>
      <w:outlineLvl w:val="1"/>
    </w:pPr>
    <w:rPr>
      <w:rFonts w:eastAsia="黑体"/>
      <w:sz w:val="28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_GB2312"/>
      <w:b/>
      <w:sz w:val="32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宋体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qFormat/>
    <w:uiPriority w:val="0"/>
    <w:pPr>
      <w:ind w:left="800" w:leftChars="800"/>
    </w:p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 w:eastAsiaTheme="minorEastAsia" w:cstheme="minorBidi"/>
      <w:sz w:val="24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Calibri" w:hAnsi="Calibri" w:eastAsia="楷体_GB2312" w:cs="宋体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eastAsia="楷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511</Characters>
  <Lines>0</Lines>
  <Paragraphs>0</Paragraphs>
  <TotalTime>34</TotalTime>
  <ScaleCrop>false</ScaleCrop>
  <LinksUpToDate>false</LinksUpToDate>
  <CharactersWithSpaces>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2021-10-31T06:21:00Z</dcterms:created>
  <dc:creator>等待苍老了誰</dc:creator>
  <cp:lastModifiedBy>春霞</cp:lastModifiedBy>
  <dcterms:modified xsi:type="dcterms:W3CDTF">2023-11-06T00:48:53Z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FD9FA8D8E1124CBD93A215BEC0D1186B</vt:lpwstr>
  </property>
</Properties>
</file>