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60" w:lineRule="exact"/>
        <w:ind w:left="0" w:leftChars="0" w:firstLine="0" w:firstLineChars="0"/>
        <w:jc w:val="both"/>
        <w:rPr>
          <w:sz w:val="24"/>
          <w:szCs w:val="24"/>
        </w:rPr>
      </w:pPr>
    </w:p>
    <w:p>
      <w:pPr>
        <w:pStyle w:val="6"/>
        <w:spacing w:line="560" w:lineRule="exact"/>
        <w:ind w:left="0"/>
        <w:rPr>
          <w:rFonts w:asciiTheme="minorEastAsia" w:hAnsiTheme="minorEastAsia" w:eastAsiaTheme="minorEastAsia" w:cstheme="minorEastAsia"/>
          <w:sz w:val="36"/>
          <w:szCs w:val="36"/>
        </w:rPr>
      </w:pPr>
    </w:p>
    <w:p>
      <w:pPr>
        <w:pStyle w:val="6"/>
        <w:spacing w:line="560" w:lineRule="exact"/>
        <w:ind w:left="0"/>
        <w:jc w:val="center"/>
        <w:outlineLvl w:val="0"/>
        <w:rPr>
          <w:rFonts w:asciiTheme="minorEastAsia" w:hAnsiTheme="minorEastAsia" w:eastAsiaTheme="minorEastAsia" w:cstheme="minorEastAsia"/>
          <w:b/>
          <w:bCs/>
          <w:sz w:val="44"/>
          <w:szCs w:val="44"/>
        </w:rPr>
      </w:pPr>
      <w:bookmarkStart w:id="0" w:name="_Toc15670"/>
      <w:bookmarkStart w:id="1" w:name="_Toc20065"/>
      <w:bookmarkStart w:id="2" w:name="_Toc31537"/>
      <w:r>
        <w:rPr>
          <w:rFonts w:hint="eastAsia" w:asciiTheme="minorEastAsia" w:hAnsiTheme="minorEastAsia" w:eastAsiaTheme="minorEastAsia" w:cstheme="minorEastAsia"/>
          <w:b/>
          <w:bCs/>
          <w:sz w:val="44"/>
          <w:szCs w:val="44"/>
        </w:rPr>
        <w:t>邵阳经济开发区光电光学制造生产基地建设项目债券资金绩效评价报告</w:t>
      </w:r>
      <w:bookmarkEnd w:id="0"/>
      <w:bookmarkEnd w:id="1"/>
      <w:bookmarkEnd w:id="2"/>
    </w:p>
    <w:p>
      <w:pPr>
        <w:pStyle w:val="7"/>
        <w:spacing w:line="560" w:lineRule="exact"/>
        <w:rPr>
          <w:sz w:val="24"/>
        </w:rPr>
      </w:pPr>
    </w:p>
    <w:p>
      <w:pPr>
        <w:spacing w:line="560" w:lineRule="exact"/>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为全面贯彻落实中共中央、国务院关于全面实施预算绩效管理的决策部署，进一步加强和规范专项资金的管理，切实提高专项资金使用效益，根据《中华人民共和国预算法》《中共中央 国务院关于全面实施预算绩效管理的意见》《中共湖南省委办公厅 湖南省人民政府办公厅关于全面实施预算绩效管理的实施意见》等文件为评价依据，湖南诚悦达会计师事务所（普通合伙）根据《邵阳市财政局关于开展邵阳经济开发区光电光学制造生产基地建设项目债券资金绩效评价工作的通知》（邵财绩〔2023〕14号），对邵阳经济开发区光电光学制造生产基地建设项目债券资金的管理使用效果进行绩效评价，现就绩效评价情况报告如下：</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3" w:name="_Toc23001"/>
      <w:r>
        <w:rPr>
          <w:rFonts w:hint="eastAsia" w:ascii="黑体" w:hAnsi="黑体" w:eastAsia="黑体" w:cs="黑体"/>
          <w:b/>
          <w:bCs/>
          <w:color w:val="000000"/>
          <w:sz w:val="32"/>
          <w:szCs w:val="32"/>
        </w:rPr>
        <w:t>一、基本情况</w:t>
      </w:r>
      <w:bookmarkEnd w:id="3"/>
    </w:p>
    <w:p>
      <w:pPr>
        <w:spacing w:line="560" w:lineRule="exact"/>
        <w:ind w:firstLine="643" w:firstLineChars="200"/>
        <w:outlineLvl w:val="1"/>
        <w:rPr>
          <w:rFonts w:ascii="楷体" w:hAnsi="楷体" w:eastAsia="楷体" w:cs="楷体"/>
          <w:b/>
          <w:color w:val="000000"/>
          <w:sz w:val="32"/>
          <w:szCs w:val="32"/>
        </w:rPr>
      </w:pPr>
      <w:bookmarkStart w:id="4" w:name="_Toc24886"/>
      <w:r>
        <w:rPr>
          <w:rFonts w:hint="eastAsia" w:ascii="楷体" w:hAnsi="楷体" w:eastAsia="楷体" w:cs="楷体"/>
          <w:b/>
          <w:color w:val="000000"/>
          <w:sz w:val="32"/>
          <w:szCs w:val="32"/>
        </w:rPr>
        <w:t>（一）项目概况</w:t>
      </w:r>
      <w:bookmarkEnd w:id="4"/>
    </w:p>
    <w:p>
      <w:pPr>
        <w:spacing w:line="560" w:lineRule="exact"/>
        <w:ind w:firstLine="643" w:firstLineChars="200"/>
        <w:outlineLvl w:val="2"/>
        <w:rPr>
          <w:rFonts w:ascii="仿宋_GB2312" w:hAnsi="仿宋_GB2312" w:eastAsia="仿宋_GB2312" w:cs="仿宋_GB2312"/>
          <w:b/>
          <w:bCs/>
          <w:color w:val="000000"/>
          <w:sz w:val="32"/>
          <w:szCs w:val="32"/>
        </w:rPr>
      </w:pPr>
      <w:bookmarkStart w:id="5" w:name="_Toc32064"/>
      <w:r>
        <w:rPr>
          <w:rFonts w:hint="eastAsia" w:ascii="仿宋_GB2312" w:hAnsi="仿宋_GB2312" w:eastAsia="仿宋_GB2312" w:cs="仿宋_GB2312"/>
          <w:b/>
          <w:bCs/>
          <w:color w:val="000000"/>
          <w:sz w:val="32"/>
          <w:szCs w:val="32"/>
        </w:rPr>
        <w:t>1.项目背景</w:t>
      </w:r>
      <w:bookmarkEnd w:id="5"/>
    </w:p>
    <w:p>
      <w:pPr>
        <w:pStyle w:val="20"/>
        <w:rPr>
          <w:rFonts w:hint="eastAsia" w:ascii="仿宋" w:hAnsi="仿宋" w:eastAsia="仿宋" w:cs="仿宋"/>
          <w:sz w:val="32"/>
          <w:szCs w:val="32"/>
        </w:rPr>
      </w:pPr>
      <w:r>
        <w:rPr>
          <w:rFonts w:hint="eastAsia" w:ascii="仿宋" w:hAnsi="仿宋" w:eastAsia="仿宋" w:cs="仿宋"/>
          <w:sz w:val="32"/>
          <w:szCs w:val="32"/>
        </w:rPr>
        <w:t>邵阳经开区基于我国经济“新常态”发展的时代背景，抢抓一带一部、武陵山片区发展和扶贫攻坚、产城融合试点等战略机遇，提出“打造千亿园区、建设工业新城”的战略目标。为引进辖区新一代信息技术与制造装备融合技术，打造创新示范园区。通过建设光学镜头生产厂房，引进光学镜头、镜片生产线，达到深度融合创新技术和制造装备技术，抢占新一轮科技革命和产业变革的技术高地。邵阳经济开发区于是与广东北创光电股份有限公司初步商定入驻园区优惠政策，将在邵阳经济开发区投资建厂。由邵阳经济开发区建设标准厂房、办公楼等基础设施项目，出租给光学制造企业。</w:t>
      </w:r>
    </w:p>
    <w:p>
      <w:pPr>
        <w:spacing w:line="560" w:lineRule="exact"/>
        <w:ind w:firstLine="643" w:firstLineChars="200"/>
        <w:outlineLvl w:val="2"/>
        <w:rPr>
          <w:rFonts w:ascii="仿宋_GB2312" w:hAnsi="仿宋_GB2312" w:eastAsia="仿宋_GB2312" w:cs="仿宋_GB2312"/>
          <w:b/>
          <w:bCs/>
          <w:sz w:val="32"/>
          <w:szCs w:val="32"/>
        </w:rPr>
      </w:pPr>
      <w:bookmarkStart w:id="6" w:name="_Toc17520"/>
      <w:r>
        <w:rPr>
          <w:rFonts w:hint="eastAsia" w:ascii="仿宋_GB2312" w:hAnsi="仿宋_GB2312" w:eastAsia="仿宋_GB2312" w:cs="仿宋_GB2312"/>
          <w:b/>
          <w:bCs/>
          <w:sz w:val="32"/>
          <w:szCs w:val="32"/>
        </w:rPr>
        <w:t>2.主要内容</w:t>
      </w:r>
      <w:bookmarkEnd w:id="6"/>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（1）项目建设地点、内容及规模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建设地点位于邵阳经济技术开发区内，世纪大道和邵阳大道的西北角，总用地面积22026.35㎡，约33亩，建筑占地面积7151.56㎡，总建筑面积29487.4㎡。项目建设主要内容分为厂房、研发大楼、宿舍楼、变压器房、污水处理房及其他附属设施等主体建筑设施，还包括道路、围墙、场地铺装、停车位、给排水、强弱电、绿化、亮化等基础设施建设。</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）项目建设期</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项目建设期为两年，前期工作在2020年7月底完成，2021年12月底项目交付使用。</w:t>
      </w:r>
    </w:p>
    <w:p>
      <w:pPr>
        <w:spacing w:line="560" w:lineRule="exact"/>
        <w:ind w:firstLine="643" w:firstLineChars="200"/>
        <w:outlineLvl w:val="2"/>
        <w:rPr>
          <w:rFonts w:ascii="仿宋_GB2312" w:hAnsi="仿宋_GB2312" w:eastAsia="仿宋_GB2312" w:cs="仿宋_GB2312"/>
          <w:b/>
          <w:bCs/>
          <w:sz w:val="32"/>
          <w:szCs w:val="32"/>
        </w:rPr>
      </w:pPr>
      <w:bookmarkStart w:id="7" w:name="_Toc18407"/>
      <w:r>
        <w:rPr>
          <w:rFonts w:hint="eastAsia" w:ascii="仿宋_GB2312" w:hAnsi="仿宋_GB2312" w:eastAsia="仿宋_GB2312" w:cs="仿宋_GB2312"/>
          <w:b/>
          <w:bCs/>
          <w:sz w:val="32"/>
          <w:szCs w:val="32"/>
        </w:rPr>
        <w:t>3.项目管理单位</w:t>
      </w:r>
      <w:bookmarkEnd w:id="7"/>
    </w:p>
    <w:p>
      <w:pPr>
        <w:widowControl/>
        <w:ind w:firstLine="640" w:firstLineChars="200"/>
      </w:pPr>
      <w:r>
        <w:rPr>
          <w:rFonts w:hint="eastAsia" w:ascii="仿宋" w:hAnsi="仿宋" w:eastAsia="仿宋" w:cs="仿宋"/>
          <w:sz w:val="32"/>
          <w:szCs w:val="32"/>
        </w:rPr>
        <w:t>项目主管部门：邵阳经济开发区管理委员会，</w:t>
      </w:r>
      <w:r>
        <w:rPr>
          <w:rFonts w:ascii="仿宋" w:hAnsi="仿宋" w:eastAsia="仿宋" w:cs="仿宋"/>
          <w:color w:val="000000"/>
          <w:kern w:val="0"/>
          <w:sz w:val="31"/>
          <w:szCs w:val="31"/>
          <w:lang w:bidi="ar"/>
        </w:rPr>
        <w:t>负责按照项目工作要求并根据项目建设任务、成</w:t>
      </w:r>
      <w:r>
        <w:rPr>
          <w:rFonts w:hint="eastAsia" w:ascii="仿宋" w:hAnsi="仿宋" w:eastAsia="仿宋" w:cs="仿宋"/>
          <w:color w:val="000000"/>
          <w:kern w:val="0"/>
          <w:sz w:val="31"/>
          <w:szCs w:val="31"/>
          <w:lang w:bidi="ar"/>
        </w:rPr>
        <w:t>本等因素，建立本地区发行政府专项债券项目库，做好项目的规划期限、投资计划、收益和融资平衡方案、预期收入等测算，做好政府专项债券年度项目库与政府债务管理系统的衔接，配合做好政府专项债券发行各项准备工作，加强对项目实施情况的监控，并统筹协调相关部门保障项目建设进度，如期实现专项收入等后续工作。</w:t>
      </w:r>
    </w:p>
    <w:p>
      <w:pPr>
        <w:spacing w:line="560" w:lineRule="exact"/>
        <w:ind w:firstLine="640" w:firstLineChars="200"/>
      </w:pPr>
      <w:r>
        <w:rPr>
          <w:rFonts w:hint="eastAsia" w:ascii="仿宋" w:hAnsi="仿宋" w:eastAsia="仿宋" w:cs="仿宋"/>
          <w:sz w:val="32"/>
          <w:szCs w:val="32"/>
        </w:rPr>
        <w:t>项目建设单位：邵阳市宝庆工业新城建设投资开发有限公司（以下简称“宝城投”）成立于2008年01月11日，统一社会信用代码为91430500670755891X，注册地位于邵阳市邵阳经济开发区主孵化楼，注册资金5亿元人民币，系国有控股公司，主要负责邵阳经济开发区的投资、建设、开发和经营工作。</w:t>
      </w:r>
      <w:r>
        <w:t xml:space="preserve"> </w:t>
      </w:r>
    </w:p>
    <w:p>
      <w:pPr>
        <w:spacing w:line="560" w:lineRule="exact"/>
        <w:ind w:firstLine="643" w:firstLineChars="200"/>
        <w:outlineLvl w:val="2"/>
        <w:rPr>
          <w:rFonts w:ascii="仿宋_GB2312" w:hAnsi="仿宋_GB2312" w:eastAsia="仿宋_GB2312" w:cs="仿宋_GB2312"/>
          <w:b/>
          <w:bCs/>
          <w:sz w:val="32"/>
          <w:szCs w:val="32"/>
        </w:rPr>
      </w:pPr>
      <w:bookmarkStart w:id="8" w:name="_Toc29087"/>
      <w:r>
        <w:rPr>
          <w:rFonts w:hint="eastAsia" w:ascii="仿宋_GB2312" w:hAnsi="仿宋_GB2312" w:eastAsia="仿宋_GB2312" w:cs="仿宋_GB2312"/>
          <w:b/>
          <w:bCs/>
          <w:sz w:val="32"/>
          <w:szCs w:val="32"/>
        </w:rPr>
        <w:t>4.项目其他相关单位</w:t>
      </w:r>
      <w:bookmarkEnd w:id="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项目施工单位：湖南诚丰建设工程有限公司；</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项目勘察单位：邵阳市第二建筑设计研究院；</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项目设计单位：北京中科建筑设计研究所有限公司；</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项目监理单位：天鉴国际工程管理有限公司；</w:t>
      </w:r>
    </w:p>
    <w:p>
      <w:pPr>
        <w:pStyle w:val="2"/>
        <w:ind w:firstLine="648"/>
        <w:jc w:val="both"/>
        <w:rPr>
          <w:rFonts w:ascii="仿宋" w:hAnsi="仿宋" w:eastAsia="仿宋" w:cs="仿宋"/>
          <w:kern w:val="2"/>
          <w:sz w:val="32"/>
          <w:szCs w:val="32"/>
        </w:rPr>
      </w:pPr>
      <w:r>
        <w:rPr>
          <w:rFonts w:hint="eastAsia" w:ascii="仿宋" w:hAnsi="仿宋" w:eastAsia="仿宋" w:cs="仿宋"/>
          <w:kern w:val="2"/>
          <w:sz w:val="32"/>
          <w:szCs w:val="32"/>
        </w:rPr>
        <w:t>项目承租单位：北创光电科技（邵阳）有限公司。</w:t>
      </w:r>
    </w:p>
    <w:p>
      <w:pPr>
        <w:spacing w:line="560" w:lineRule="exact"/>
        <w:ind w:firstLine="643" w:firstLineChars="200"/>
        <w:outlineLvl w:val="1"/>
        <w:rPr>
          <w:rFonts w:ascii="楷体" w:hAnsi="楷体" w:eastAsia="楷体" w:cs="楷体"/>
          <w:b/>
          <w:bCs/>
          <w:sz w:val="32"/>
          <w:szCs w:val="32"/>
        </w:rPr>
      </w:pPr>
      <w:bookmarkStart w:id="9" w:name="_Toc23182"/>
      <w:r>
        <w:rPr>
          <w:rFonts w:hint="eastAsia" w:ascii="楷体" w:hAnsi="楷体" w:eastAsia="楷体" w:cs="楷体"/>
          <w:b/>
          <w:bCs/>
          <w:sz w:val="32"/>
          <w:szCs w:val="32"/>
        </w:rPr>
        <w:t>（二）项目实施及管理情况</w:t>
      </w:r>
      <w:bookmarkEnd w:id="9"/>
    </w:p>
    <w:p>
      <w:pPr>
        <w:pStyle w:val="2"/>
        <w:ind w:firstLine="648"/>
        <w:outlineLvl w:val="2"/>
        <w:rPr>
          <w:rFonts w:ascii="仿宋" w:hAnsi="仿宋" w:eastAsia="仿宋" w:cs="仿宋"/>
          <w:b/>
          <w:bCs/>
          <w:kern w:val="2"/>
          <w:sz w:val="32"/>
          <w:szCs w:val="32"/>
        </w:rPr>
      </w:pPr>
      <w:bookmarkStart w:id="10" w:name="_Toc9774"/>
      <w:r>
        <w:rPr>
          <w:rFonts w:hint="eastAsia" w:ascii="仿宋" w:hAnsi="仿宋" w:eastAsia="仿宋" w:cs="仿宋"/>
          <w:b/>
          <w:bCs/>
          <w:kern w:val="2"/>
          <w:sz w:val="32"/>
          <w:szCs w:val="32"/>
        </w:rPr>
        <w:t>1.项目组织实施情况</w:t>
      </w:r>
      <w:bookmarkEnd w:id="10"/>
      <w:r>
        <w:rPr>
          <w:rFonts w:hint="eastAsia" w:ascii="仿宋" w:hAnsi="仿宋" w:eastAsia="仿宋" w:cs="仿宋"/>
          <w:b/>
          <w:bCs/>
          <w:kern w:val="2"/>
          <w:sz w:val="32"/>
          <w:szCs w:val="32"/>
        </w:rPr>
        <w:t xml:space="preserve"> </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项目于2019年7月，经邵阳经济开发区管理委员会出具《关于同意邵阳经济开发区光电光学制造生产基地建设项目可行性研究报告的批复》；2021年8月，邵阳经济开发区管理委员会开具《关于邵阳经济开发区光电光学制造生产基地建设项目可行性研究报告的批复》进行了调整批复；2023年3月，邵阳经济开发区管理委员会开具《关于邵阳经济开发区光电光学制造生产基地建设项目调整总投资概算的批复》，对该项目总投资估算由原批复的8065.98万元调整为1211.73万元，其中：工程费8040.38万元，工程建设其他费2370.70万元，预备费1353.44万元。</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2020年4月，宝城投对项目（2#厂房）进行内部招标，确定湖南诚丰建设工程有限公司为中标人。2020年4月对1＃厂房研发楼、宿舍楼、变电房、污水处理机房、南门卫、东门卫、室外工程进行公开招标，确定中标人为湖南诚丰建设工程有限公司。2020年6月，项目开工建设。</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2021年9月，对邵阳经开区光电光学无尘室车间装饰装修工程项目进行公开招标，确定中标人为京兴美建设工程有限公司。2021年11月，邵阳市经开区光电光学无尘车间装饰装修工程项目正式进入施工阶段。</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2021年11月，由邵阳经济开发区管理委员会编制了《邵阳市本级2021年园区建设专项债券邵阳经济开发区光电光学制造生产基地建设项目预期收益与融资平衡方案》。</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2021年11月，由湖南天平正大会计师事务所（特殊普通合伙）出具了邵阳市2021年园区建设项目专项债券收益与融资自求平衡审核报告书。</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2021年11月，由湖南泓锐律师事务所就邵阳市2021年园区建设专项债券发行事宜出具了专项法律意见书。</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2022年6月27日 ，北创光电科技（邵阳）有限公司出具《厂房接收证明》。</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2022年6月28日，宝城投工程部组织邵阳经开区建筑质量安全监督管理站以及北创光电光学工程的使用单位、建设单位、监理单位、设计单位、勘察单位、施工单位的各项目负责人及相关参建人员联合进行工程竣工验收，工程验收合格。</w:t>
      </w:r>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截至2023年7月，竣工决算尚未完成。</w:t>
      </w:r>
    </w:p>
    <w:p>
      <w:pPr>
        <w:pStyle w:val="2"/>
        <w:ind w:firstLine="648"/>
        <w:outlineLvl w:val="2"/>
        <w:rPr>
          <w:rFonts w:ascii="仿宋" w:hAnsi="仿宋" w:eastAsia="仿宋" w:cs="仿宋"/>
          <w:b/>
          <w:bCs/>
          <w:kern w:val="2"/>
          <w:sz w:val="32"/>
          <w:szCs w:val="32"/>
        </w:rPr>
      </w:pPr>
      <w:bookmarkStart w:id="11" w:name="_Toc17911"/>
      <w:r>
        <w:rPr>
          <w:rFonts w:hint="eastAsia" w:ascii="仿宋" w:hAnsi="仿宋" w:eastAsia="仿宋" w:cs="仿宋"/>
          <w:b/>
          <w:bCs/>
          <w:kern w:val="2"/>
          <w:sz w:val="32"/>
          <w:szCs w:val="32"/>
        </w:rPr>
        <w:t>2</w:t>
      </w:r>
      <w:r>
        <w:rPr>
          <w:rFonts w:ascii="仿宋" w:hAnsi="仿宋" w:eastAsia="仿宋" w:cs="仿宋"/>
          <w:b/>
          <w:bCs/>
          <w:kern w:val="2"/>
          <w:sz w:val="32"/>
          <w:szCs w:val="32"/>
        </w:rPr>
        <w:t>.</w:t>
      </w:r>
      <w:r>
        <w:rPr>
          <w:rFonts w:hint="eastAsia" w:ascii="仿宋" w:hAnsi="仿宋" w:eastAsia="仿宋" w:cs="仿宋"/>
          <w:b/>
          <w:bCs/>
          <w:kern w:val="2"/>
          <w:sz w:val="32"/>
          <w:szCs w:val="32"/>
        </w:rPr>
        <w:t>项目制度建设及执行情况</w:t>
      </w:r>
      <w:bookmarkEnd w:id="11"/>
    </w:p>
    <w:p>
      <w:pPr>
        <w:pStyle w:val="2"/>
        <w:ind w:firstLine="648"/>
        <w:jc w:val="both"/>
        <w:rPr>
          <w:rFonts w:ascii="仿宋" w:hAnsi="仿宋" w:eastAsia="仿宋" w:cs="仿宋"/>
          <w:kern w:val="2"/>
          <w:sz w:val="32"/>
          <w:szCs w:val="32"/>
        </w:rPr>
      </w:pPr>
      <w:r>
        <w:rPr>
          <w:rFonts w:hint="eastAsia" w:ascii="仿宋" w:hAnsi="仿宋" w:eastAsia="仿宋" w:cs="仿宋"/>
          <w:kern w:val="2"/>
          <w:sz w:val="32"/>
          <w:szCs w:val="32"/>
        </w:rPr>
        <w:t>项目建设期间宝城投成立了项目建设工作领导小组，制定了《专项资金管理办法》及《债务风险预警管理办法》等一系列相关制度，对专项资金的目的与适用范围、专项资金的管理部门职责、专项资金的管理要求、专项资金的使用流程、债务风险预警指标体系主要内容、债务风险管控措施、债务风险预警保障机制等进行了规范并得到了有效执行。</w:t>
      </w:r>
    </w:p>
    <w:p>
      <w:pPr>
        <w:spacing w:line="560" w:lineRule="exact"/>
        <w:ind w:firstLine="643" w:firstLineChars="200"/>
        <w:outlineLvl w:val="1"/>
        <w:rPr>
          <w:rFonts w:ascii="楷体" w:hAnsi="楷体" w:eastAsia="楷体" w:cs="楷体"/>
          <w:b/>
          <w:bCs/>
          <w:sz w:val="32"/>
          <w:szCs w:val="32"/>
        </w:rPr>
      </w:pPr>
      <w:bookmarkStart w:id="12" w:name="_Toc23758"/>
      <w:r>
        <w:rPr>
          <w:rFonts w:hint="eastAsia" w:ascii="楷体" w:hAnsi="楷体" w:eastAsia="楷体" w:cs="楷体"/>
          <w:b/>
          <w:bCs/>
          <w:sz w:val="32"/>
          <w:szCs w:val="32"/>
        </w:rPr>
        <w:t>（三）项目资金情况</w:t>
      </w:r>
      <w:bookmarkEnd w:id="12"/>
    </w:p>
    <w:p>
      <w:pPr>
        <w:spacing w:line="560" w:lineRule="exact"/>
        <w:ind w:firstLine="643" w:firstLineChars="200"/>
        <w:outlineLvl w:val="2"/>
        <w:rPr>
          <w:rFonts w:ascii="仿宋" w:hAnsi="仿宋" w:eastAsia="仿宋" w:cs="仿宋"/>
          <w:b/>
          <w:bCs/>
          <w:sz w:val="32"/>
          <w:szCs w:val="32"/>
        </w:rPr>
      </w:pPr>
      <w:bookmarkStart w:id="13" w:name="_Toc31522"/>
      <w:r>
        <w:rPr>
          <w:rFonts w:hint="eastAsia" w:ascii="仿宋" w:hAnsi="仿宋" w:eastAsia="仿宋" w:cs="仿宋"/>
          <w:b/>
          <w:bCs/>
          <w:sz w:val="32"/>
          <w:szCs w:val="32"/>
        </w:rPr>
        <w:t>1.投资估算情况</w:t>
      </w:r>
      <w:bookmarkEnd w:id="13"/>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该项目《预期收益与融资平衡方案》中测算的项目估算总投资为12864.05万元。其中工程建设费用8239.93万元，占总投资64.05%;工程建设其他费用2865.58万元(其中土地拆迁费用1759.91万元)，占总投资22.28%；预备费用1611.54万元，占总投资12.53%；建设期利息147.00万元，占总投资1.14%。</w:t>
      </w:r>
    </w:p>
    <w:p>
      <w:pPr>
        <w:spacing w:line="560" w:lineRule="exact"/>
        <w:ind w:firstLine="643" w:firstLineChars="200"/>
        <w:outlineLvl w:val="2"/>
        <w:rPr>
          <w:rFonts w:ascii="仿宋" w:hAnsi="仿宋" w:eastAsia="仿宋" w:cs="仿宋"/>
          <w:b/>
          <w:bCs/>
          <w:sz w:val="32"/>
          <w:szCs w:val="32"/>
        </w:rPr>
      </w:pPr>
      <w:bookmarkStart w:id="14" w:name="_Toc26445"/>
      <w:r>
        <w:rPr>
          <w:rFonts w:hint="eastAsia" w:ascii="仿宋" w:hAnsi="仿宋" w:eastAsia="仿宋" w:cs="仿宋"/>
          <w:b/>
          <w:bCs/>
          <w:sz w:val="32"/>
          <w:szCs w:val="32"/>
        </w:rPr>
        <w:t>2.资金来源情况</w:t>
      </w:r>
      <w:bookmarkEnd w:id="14"/>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项目资金来源主要为单位自筹和发行政府专项债券，其中用于项目支出的财政资金6864</w:t>
      </w:r>
      <w:r>
        <w:rPr>
          <w:rFonts w:ascii="仿宋" w:hAnsi="仿宋" w:eastAsia="仿宋" w:cs="仿宋"/>
          <w:kern w:val="2"/>
          <w:sz w:val="32"/>
          <w:szCs w:val="32"/>
        </w:rPr>
        <w:t>.05</w:t>
      </w:r>
      <w:r>
        <w:rPr>
          <w:rFonts w:hint="eastAsia" w:ascii="仿宋" w:hAnsi="仿宋" w:eastAsia="仿宋" w:cs="仿宋"/>
          <w:kern w:val="2"/>
          <w:sz w:val="32"/>
          <w:szCs w:val="32"/>
        </w:rPr>
        <w:t>万元，拟申请发行政府专项债券资金 6000万元。</w:t>
      </w:r>
    </w:p>
    <w:p>
      <w:pPr>
        <w:spacing w:line="560" w:lineRule="exact"/>
        <w:ind w:firstLine="643" w:firstLineChars="200"/>
        <w:outlineLvl w:val="2"/>
        <w:rPr>
          <w:rFonts w:ascii="仿宋" w:hAnsi="仿宋" w:eastAsia="仿宋" w:cs="仿宋"/>
          <w:b/>
          <w:bCs/>
          <w:sz w:val="32"/>
          <w:szCs w:val="32"/>
        </w:rPr>
      </w:pPr>
      <w:bookmarkStart w:id="15" w:name="_Toc15943"/>
      <w:r>
        <w:rPr>
          <w:rFonts w:hint="eastAsia" w:ascii="仿宋" w:hAnsi="仿宋" w:eastAsia="仿宋" w:cs="仿宋"/>
          <w:b/>
          <w:bCs/>
          <w:sz w:val="32"/>
          <w:szCs w:val="32"/>
        </w:rPr>
        <w:t>3.资金到位情况</w:t>
      </w:r>
      <w:bookmarkEnd w:id="15"/>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截止202</w:t>
      </w:r>
      <w:r>
        <w:rPr>
          <w:rFonts w:ascii="仿宋" w:hAnsi="仿宋" w:eastAsia="仿宋" w:cs="仿宋"/>
          <w:kern w:val="2"/>
          <w:sz w:val="32"/>
          <w:szCs w:val="32"/>
        </w:rPr>
        <w:t>3</w:t>
      </w:r>
      <w:r>
        <w:rPr>
          <w:rFonts w:hint="eastAsia" w:ascii="仿宋" w:hAnsi="仿宋" w:eastAsia="仿宋" w:cs="仿宋"/>
          <w:kern w:val="2"/>
          <w:sz w:val="32"/>
          <w:szCs w:val="32"/>
        </w:rPr>
        <w:t>年</w:t>
      </w:r>
      <w:r>
        <w:rPr>
          <w:rFonts w:ascii="仿宋" w:hAnsi="仿宋" w:eastAsia="仿宋" w:cs="仿宋"/>
          <w:kern w:val="2"/>
          <w:sz w:val="32"/>
          <w:szCs w:val="32"/>
        </w:rPr>
        <w:t>6</w:t>
      </w:r>
      <w:r>
        <w:rPr>
          <w:rFonts w:hint="eastAsia" w:ascii="仿宋" w:hAnsi="仿宋" w:eastAsia="仿宋" w:cs="仿宋"/>
          <w:kern w:val="2"/>
          <w:sz w:val="32"/>
          <w:szCs w:val="32"/>
        </w:rPr>
        <w:t>月3</w:t>
      </w:r>
      <w:r>
        <w:rPr>
          <w:rFonts w:ascii="仿宋" w:hAnsi="仿宋" w:eastAsia="仿宋" w:cs="仿宋"/>
          <w:kern w:val="2"/>
          <w:sz w:val="32"/>
          <w:szCs w:val="32"/>
        </w:rPr>
        <w:t>0</w:t>
      </w:r>
      <w:r>
        <w:rPr>
          <w:rFonts w:hint="eastAsia" w:ascii="仿宋" w:hAnsi="仿宋" w:eastAsia="仿宋" w:cs="仿宋"/>
          <w:kern w:val="2"/>
          <w:sz w:val="32"/>
          <w:szCs w:val="32"/>
        </w:rPr>
        <w:t>日，该项目实际累计到位资金</w:t>
      </w:r>
      <w:r>
        <w:rPr>
          <w:rFonts w:ascii="仿宋" w:hAnsi="仿宋" w:eastAsia="仿宋" w:cs="仿宋"/>
          <w:kern w:val="2"/>
          <w:sz w:val="32"/>
          <w:szCs w:val="32"/>
        </w:rPr>
        <w:t>7848</w:t>
      </w:r>
      <w:r>
        <w:rPr>
          <w:rFonts w:hint="eastAsia" w:ascii="仿宋" w:hAnsi="仿宋" w:eastAsia="仿宋" w:cs="仿宋"/>
          <w:kern w:val="2"/>
          <w:sz w:val="32"/>
          <w:szCs w:val="32"/>
        </w:rPr>
        <w:t xml:space="preserve">万元，其中自筹资金 </w:t>
      </w:r>
      <w:r>
        <w:rPr>
          <w:rFonts w:ascii="仿宋" w:hAnsi="仿宋" w:eastAsia="仿宋" w:cs="仿宋"/>
          <w:kern w:val="2"/>
          <w:sz w:val="32"/>
          <w:szCs w:val="32"/>
        </w:rPr>
        <w:t>1848</w:t>
      </w:r>
      <w:r>
        <w:rPr>
          <w:rFonts w:hint="eastAsia" w:ascii="仿宋" w:hAnsi="仿宋" w:eastAsia="仿宋" w:cs="仿宋"/>
          <w:kern w:val="2"/>
          <w:sz w:val="32"/>
          <w:szCs w:val="32"/>
        </w:rPr>
        <w:t>万元，发行专项债券资金</w:t>
      </w:r>
      <w:r>
        <w:rPr>
          <w:rFonts w:ascii="仿宋" w:hAnsi="仿宋" w:eastAsia="仿宋" w:cs="仿宋"/>
          <w:kern w:val="2"/>
          <w:sz w:val="32"/>
          <w:szCs w:val="32"/>
        </w:rPr>
        <w:t>6</w:t>
      </w:r>
      <w:r>
        <w:rPr>
          <w:rFonts w:hint="eastAsia" w:ascii="仿宋" w:hAnsi="仿宋" w:eastAsia="仿宋" w:cs="仿宋"/>
          <w:kern w:val="2"/>
          <w:sz w:val="32"/>
          <w:szCs w:val="32"/>
        </w:rPr>
        <w:t>000万元，项目资金到位率为</w:t>
      </w:r>
      <w:r>
        <w:rPr>
          <w:rFonts w:ascii="仿宋" w:hAnsi="仿宋" w:eastAsia="仿宋" w:cs="仿宋"/>
          <w:kern w:val="2"/>
          <w:sz w:val="32"/>
          <w:szCs w:val="32"/>
        </w:rPr>
        <w:t>61</w:t>
      </w:r>
      <w:r>
        <w:rPr>
          <w:rFonts w:hint="eastAsia" w:ascii="仿宋" w:hAnsi="仿宋" w:eastAsia="仿宋" w:cs="仿宋"/>
          <w:kern w:val="2"/>
          <w:sz w:val="32"/>
          <w:szCs w:val="32"/>
        </w:rPr>
        <w:t>%，专项债券资金到位率为100%。</w:t>
      </w:r>
    </w:p>
    <w:p>
      <w:pPr>
        <w:spacing w:line="560" w:lineRule="exact"/>
        <w:ind w:firstLine="643" w:firstLineChars="200"/>
        <w:outlineLvl w:val="2"/>
        <w:rPr>
          <w:rFonts w:ascii="仿宋" w:hAnsi="仿宋" w:eastAsia="仿宋" w:cs="仿宋"/>
          <w:b/>
          <w:bCs/>
          <w:sz w:val="32"/>
          <w:szCs w:val="32"/>
        </w:rPr>
      </w:pPr>
      <w:bookmarkStart w:id="16" w:name="_Toc21533"/>
      <w:r>
        <w:rPr>
          <w:rFonts w:hint="eastAsia" w:ascii="仿宋" w:hAnsi="仿宋" w:eastAsia="仿宋" w:cs="仿宋"/>
          <w:b/>
          <w:bCs/>
          <w:sz w:val="32"/>
          <w:szCs w:val="32"/>
        </w:rPr>
        <w:t>4.资金使用情况</w:t>
      </w:r>
      <w:bookmarkEnd w:id="16"/>
    </w:p>
    <w:p>
      <w:pPr>
        <w:pStyle w:val="2"/>
        <w:ind w:firstLine="648"/>
        <w:rPr>
          <w:rFonts w:ascii="仿宋" w:hAnsi="仿宋" w:eastAsia="仿宋" w:cs="仿宋"/>
          <w:kern w:val="2"/>
          <w:sz w:val="32"/>
          <w:szCs w:val="32"/>
        </w:rPr>
      </w:pPr>
      <w:r>
        <w:rPr>
          <w:rFonts w:hint="eastAsia" w:ascii="仿宋" w:hAnsi="仿宋" w:eastAsia="仿宋" w:cs="仿宋"/>
          <w:kern w:val="2"/>
          <w:sz w:val="32"/>
          <w:szCs w:val="32"/>
        </w:rPr>
        <w:t>截止202</w:t>
      </w:r>
      <w:r>
        <w:rPr>
          <w:rFonts w:ascii="仿宋" w:hAnsi="仿宋" w:eastAsia="仿宋" w:cs="仿宋"/>
          <w:kern w:val="2"/>
          <w:sz w:val="32"/>
          <w:szCs w:val="32"/>
        </w:rPr>
        <w:t>3</w:t>
      </w:r>
      <w:r>
        <w:rPr>
          <w:rFonts w:hint="eastAsia" w:ascii="仿宋" w:hAnsi="仿宋" w:eastAsia="仿宋" w:cs="仿宋"/>
          <w:kern w:val="2"/>
          <w:sz w:val="32"/>
          <w:szCs w:val="32"/>
        </w:rPr>
        <w:t>年</w:t>
      </w:r>
      <w:r>
        <w:rPr>
          <w:rFonts w:ascii="仿宋" w:hAnsi="仿宋" w:eastAsia="仿宋" w:cs="仿宋"/>
          <w:kern w:val="2"/>
          <w:sz w:val="32"/>
          <w:szCs w:val="32"/>
        </w:rPr>
        <w:t>6</w:t>
      </w:r>
      <w:r>
        <w:rPr>
          <w:rFonts w:hint="eastAsia" w:ascii="仿宋" w:hAnsi="仿宋" w:eastAsia="仿宋" w:cs="仿宋"/>
          <w:kern w:val="2"/>
          <w:sz w:val="32"/>
          <w:szCs w:val="32"/>
        </w:rPr>
        <w:t>月3</w:t>
      </w:r>
      <w:r>
        <w:rPr>
          <w:rFonts w:ascii="仿宋" w:hAnsi="仿宋" w:eastAsia="仿宋" w:cs="仿宋"/>
          <w:kern w:val="2"/>
          <w:sz w:val="32"/>
          <w:szCs w:val="32"/>
        </w:rPr>
        <w:t>0</w:t>
      </w:r>
      <w:r>
        <w:rPr>
          <w:rFonts w:hint="eastAsia" w:ascii="仿宋" w:hAnsi="仿宋" w:eastAsia="仿宋" w:cs="仿宋"/>
          <w:kern w:val="2"/>
          <w:sz w:val="32"/>
          <w:szCs w:val="32"/>
        </w:rPr>
        <w:t>日，该项目实际累计支出资金</w:t>
      </w:r>
      <w:r>
        <w:rPr>
          <w:rFonts w:ascii="仿宋" w:hAnsi="仿宋" w:eastAsia="仿宋" w:cs="仿宋"/>
          <w:kern w:val="2"/>
          <w:sz w:val="32"/>
          <w:szCs w:val="32"/>
        </w:rPr>
        <w:t>5541</w:t>
      </w:r>
      <w:r>
        <w:rPr>
          <w:rFonts w:hint="eastAsia" w:ascii="仿宋" w:hAnsi="仿宋" w:eastAsia="仿宋" w:cs="仿宋"/>
          <w:kern w:val="2"/>
          <w:sz w:val="32"/>
          <w:szCs w:val="32"/>
        </w:rPr>
        <w:t>万元，项目预算执行率为</w:t>
      </w:r>
      <w:r>
        <w:rPr>
          <w:rFonts w:ascii="仿宋" w:hAnsi="仿宋" w:eastAsia="仿宋" w:cs="仿宋"/>
          <w:kern w:val="2"/>
          <w:sz w:val="32"/>
          <w:szCs w:val="32"/>
        </w:rPr>
        <w:t>43.07</w:t>
      </w:r>
      <w:r>
        <w:rPr>
          <w:rFonts w:hint="eastAsia" w:ascii="仿宋" w:hAnsi="仿宋" w:eastAsia="仿宋" w:cs="仿宋"/>
          <w:kern w:val="2"/>
          <w:sz w:val="32"/>
          <w:szCs w:val="32"/>
        </w:rPr>
        <w:t>%。该项目实际累计支出资金中的专项债券资金支出为3693.32万元，具体使用明细为：支付湖南诚丰建设工程有限公司建设工程款3195.8</w:t>
      </w:r>
      <w:r>
        <w:rPr>
          <w:rFonts w:ascii="仿宋" w:hAnsi="仿宋" w:eastAsia="仿宋" w:cs="仿宋"/>
          <w:kern w:val="2"/>
          <w:sz w:val="32"/>
          <w:szCs w:val="32"/>
        </w:rPr>
        <w:t>1</w:t>
      </w:r>
      <w:r>
        <w:rPr>
          <w:rFonts w:hint="eastAsia" w:ascii="仿宋" w:hAnsi="仿宋" w:eastAsia="仿宋" w:cs="仿宋"/>
          <w:kern w:val="2"/>
          <w:sz w:val="32"/>
          <w:szCs w:val="32"/>
        </w:rPr>
        <w:t>万元，支付湖南大雅建筑设计有限公司设计费</w:t>
      </w:r>
      <w:r>
        <w:rPr>
          <w:rFonts w:hint="eastAsia" w:ascii="仿宋" w:hAnsi="仿宋" w:eastAsia="仿宋" w:cs="仿宋"/>
          <w:kern w:val="2"/>
          <w:sz w:val="32"/>
          <w:szCs w:val="32"/>
        </w:rPr>
        <w:tab/>
      </w:r>
      <w:r>
        <w:rPr>
          <w:rFonts w:hint="eastAsia" w:ascii="仿宋" w:hAnsi="仿宋" w:eastAsia="仿宋" w:cs="仿宋"/>
          <w:kern w:val="2"/>
          <w:sz w:val="32"/>
          <w:szCs w:val="32"/>
        </w:rPr>
        <w:t>21</w:t>
      </w:r>
      <w:r>
        <w:rPr>
          <w:rFonts w:ascii="仿宋" w:hAnsi="仿宋" w:eastAsia="仿宋" w:cs="仿宋"/>
          <w:kern w:val="2"/>
          <w:sz w:val="32"/>
          <w:szCs w:val="32"/>
        </w:rPr>
        <w:t>.</w:t>
      </w:r>
      <w:r>
        <w:rPr>
          <w:rFonts w:hint="eastAsia" w:ascii="仿宋" w:hAnsi="仿宋" w:eastAsia="仿宋" w:cs="仿宋"/>
          <w:kern w:val="2"/>
          <w:sz w:val="32"/>
          <w:szCs w:val="32"/>
        </w:rPr>
        <w:t>7</w:t>
      </w:r>
      <w:r>
        <w:rPr>
          <w:rFonts w:ascii="仿宋" w:hAnsi="仿宋" w:eastAsia="仿宋" w:cs="仿宋"/>
          <w:kern w:val="2"/>
          <w:sz w:val="32"/>
          <w:szCs w:val="32"/>
        </w:rPr>
        <w:t>8</w:t>
      </w:r>
      <w:r>
        <w:rPr>
          <w:rFonts w:hint="eastAsia" w:ascii="仿宋" w:hAnsi="仿宋" w:eastAsia="仿宋" w:cs="仿宋"/>
          <w:kern w:val="2"/>
          <w:sz w:val="32"/>
          <w:szCs w:val="32"/>
        </w:rPr>
        <w:t>万元，支付京兴美建设工程有限公司无尘车间装修工程款454</w:t>
      </w:r>
      <w:r>
        <w:rPr>
          <w:rFonts w:ascii="仿宋" w:hAnsi="仿宋" w:eastAsia="仿宋" w:cs="仿宋"/>
          <w:kern w:val="2"/>
          <w:sz w:val="32"/>
          <w:szCs w:val="32"/>
        </w:rPr>
        <w:t>.</w:t>
      </w:r>
      <w:r>
        <w:rPr>
          <w:rFonts w:hint="eastAsia" w:ascii="仿宋" w:hAnsi="仿宋" w:eastAsia="仿宋" w:cs="仿宋"/>
          <w:kern w:val="2"/>
          <w:sz w:val="32"/>
          <w:szCs w:val="32"/>
        </w:rPr>
        <w:t>6</w:t>
      </w:r>
      <w:r>
        <w:rPr>
          <w:rFonts w:ascii="仿宋" w:hAnsi="仿宋" w:eastAsia="仿宋" w:cs="仿宋"/>
          <w:kern w:val="2"/>
          <w:sz w:val="32"/>
          <w:szCs w:val="32"/>
        </w:rPr>
        <w:t>4</w:t>
      </w:r>
      <w:r>
        <w:rPr>
          <w:rFonts w:hint="eastAsia" w:ascii="仿宋" w:hAnsi="仿宋" w:eastAsia="仿宋" w:cs="仿宋"/>
          <w:kern w:val="2"/>
          <w:sz w:val="32"/>
          <w:szCs w:val="32"/>
        </w:rPr>
        <w:t>万元，支付天鉴国际工程管理有限公司长沙分公司监理费15</w:t>
      </w:r>
      <w:r>
        <w:rPr>
          <w:rFonts w:ascii="仿宋" w:hAnsi="仿宋" w:eastAsia="仿宋" w:cs="仿宋"/>
          <w:kern w:val="2"/>
          <w:sz w:val="32"/>
          <w:szCs w:val="32"/>
        </w:rPr>
        <w:t>.</w:t>
      </w:r>
      <w:r>
        <w:rPr>
          <w:rFonts w:hint="eastAsia" w:ascii="仿宋" w:hAnsi="仿宋" w:eastAsia="仿宋" w:cs="仿宋"/>
          <w:kern w:val="2"/>
          <w:sz w:val="32"/>
          <w:szCs w:val="32"/>
        </w:rPr>
        <w:t>4</w:t>
      </w:r>
      <w:r>
        <w:rPr>
          <w:rFonts w:ascii="仿宋" w:hAnsi="仿宋" w:eastAsia="仿宋" w:cs="仿宋"/>
          <w:kern w:val="2"/>
          <w:sz w:val="32"/>
          <w:szCs w:val="32"/>
        </w:rPr>
        <w:t>4</w:t>
      </w:r>
      <w:r>
        <w:rPr>
          <w:rFonts w:hint="eastAsia" w:ascii="仿宋" w:hAnsi="仿宋" w:eastAsia="仿宋" w:cs="仿宋"/>
          <w:kern w:val="2"/>
          <w:sz w:val="32"/>
          <w:szCs w:val="32"/>
        </w:rPr>
        <w:t>万元，支付中科(北京)建筑规划设计研究院有限公司设计费5</w:t>
      </w:r>
      <w:r>
        <w:rPr>
          <w:rFonts w:ascii="仿宋" w:hAnsi="仿宋" w:eastAsia="仿宋" w:cs="仿宋"/>
          <w:kern w:val="2"/>
          <w:sz w:val="32"/>
          <w:szCs w:val="32"/>
        </w:rPr>
        <w:t>.</w:t>
      </w:r>
      <w:r>
        <w:rPr>
          <w:rFonts w:hint="eastAsia" w:ascii="仿宋" w:hAnsi="仿宋" w:eastAsia="仿宋" w:cs="仿宋"/>
          <w:kern w:val="2"/>
          <w:sz w:val="32"/>
          <w:szCs w:val="32"/>
        </w:rPr>
        <w:t>66万元。项目专项债券资金预算执行率为</w:t>
      </w:r>
      <w:r>
        <w:rPr>
          <w:rFonts w:ascii="仿宋" w:hAnsi="仿宋" w:eastAsia="仿宋" w:cs="仿宋"/>
          <w:kern w:val="2"/>
          <w:sz w:val="32"/>
          <w:szCs w:val="32"/>
        </w:rPr>
        <w:t>61</w:t>
      </w:r>
      <w:r>
        <w:rPr>
          <w:rFonts w:hint="eastAsia" w:ascii="仿宋" w:hAnsi="仿宋" w:eastAsia="仿宋" w:cs="仿宋"/>
          <w:kern w:val="2"/>
          <w:sz w:val="32"/>
          <w:szCs w:val="32"/>
        </w:rPr>
        <w:t>.</w:t>
      </w:r>
      <w:r>
        <w:rPr>
          <w:rFonts w:ascii="仿宋" w:hAnsi="仿宋" w:eastAsia="仿宋" w:cs="仿宋"/>
          <w:kern w:val="2"/>
          <w:sz w:val="32"/>
          <w:szCs w:val="32"/>
        </w:rPr>
        <w:t>56</w:t>
      </w:r>
      <w:r>
        <w:rPr>
          <w:rFonts w:hint="eastAsia" w:ascii="仿宋" w:hAnsi="仿宋" w:eastAsia="仿宋" w:cs="仿宋"/>
          <w:kern w:val="2"/>
          <w:sz w:val="32"/>
          <w:szCs w:val="32"/>
        </w:rPr>
        <w:t>%。项目单位专项债券资金结余</w:t>
      </w:r>
      <w:r>
        <w:rPr>
          <w:rFonts w:ascii="仿宋" w:hAnsi="仿宋" w:eastAsia="仿宋" w:cs="仿宋"/>
          <w:kern w:val="2"/>
          <w:sz w:val="32"/>
          <w:szCs w:val="32"/>
        </w:rPr>
        <w:t>2306.68</w:t>
      </w:r>
      <w:r>
        <w:rPr>
          <w:rFonts w:hint="eastAsia" w:ascii="仿宋" w:hAnsi="仿宋" w:eastAsia="仿宋" w:cs="仿宋"/>
          <w:kern w:val="2"/>
          <w:sz w:val="32"/>
          <w:szCs w:val="32"/>
        </w:rPr>
        <w:t>万元。</w:t>
      </w:r>
    </w:p>
    <w:p>
      <w:pPr>
        <w:spacing w:line="560" w:lineRule="exact"/>
        <w:ind w:firstLine="643" w:firstLineChars="200"/>
        <w:outlineLvl w:val="2"/>
        <w:rPr>
          <w:rFonts w:ascii="仿宋" w:hAnsi="仿宋" w:eastAsia="仿宋" w:cs="仿宋"/>
          <w:b/>
          <w:bCs/>
          <w:color w:val="FF0000"/>
          <w:sz w:val="32"/>
          <w:szCs w:val="32"/>
        </w:rPr>
      </w:pPr>
      <w:bookmarkStart w:id="17" w:name="_Toc15040"/>
      <w:r>
        <w:rPr>
          <w:rFonts w:ascii="仿宋" w:hAnsi="仿宋" w:eastAsia="仿宋" w:cs="仿宋"/>
          <w:b/>
          <w:bCs/>
          <w:sz w:val="32"/>
          <w:szCs w:val="32"/>
        </w:rPr>
        <w:t>5</w:t>
      </w:r>
      <w:r>
        <w:rPr>
          <w:rFonts w:hint="eastAsia" w:ascii="仿宋" w:hAnsi="仿宋" w:eastAsia="仿宋" w:cs="仿宋"/>
          <w:b/>
          <w:bCs/>
          <w:sz w:val="32"/>
          <w:szCs w:val="32"/>
        </w:rPr>
        <w:t>.债券资金发行及还本付息情况</w:t>
      </w:r>
      <w:bookmarkEnd w:id="17"/>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2021年度累计发行专项债券6000万元，其中：9月发行专项债券3000万元，债券名称为2021年湖南省园区建设专项债券（九期）-2021年湖南省政府专项债券（四十四期），发行期限为15年，票面利率3.47%，付息频率为半年一次，到期偿还本金；11月发行专项债券3000万元，债券名称为2021年湖南省园区建设专项债券（二十三期）-2021年湖南省政府专项债券（一百二十七期），发行期限为15年，票面利率3.37%，付息频率为半年一次，到期偿还本金。</w:t>
      </w:r>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宝城投按照市财政局每年下发的政府债券还本付息工作通知支付债券利息至市财政局。按本项目债券发行要求，每半年付息一次，截至2023年6月30日，宝城投按债券发行条件需支付三期利息共307.8万元，已支付至市财政局债券利息一期共计102.06万元，其余应付利息由市财政局先行垫付。</w:t>
      </w:r>
    </w:p>
    <w:p>
      <w:pPr>
        <w:spacing w:line="560" w:lineRule="exact"/>
        <w:ind w:firstLine="643" w:firstLineChars="200"/>
        <w:outlineLvl w:val="1"/>
        <w:rPr>
          <w:rFonts w:ascii="楷体" w:hAnsi="楷体" w:eastAsia="楷体" w:cs="楷体"/>
          <w:b/>
          <w:color w:val="000000"/>
          <w:sz w:val="32"/>
          <w:szCs w:val="32"/>
        </w:rPr>
      </w:pPr>
      <w:bookmarkStart w:id="18" w:name="_Toc8656"/>
      <w:bookmarkStart w:id="19" w:name="_Toc25876"/>
      <w:r>
        <w:rPr>
          <w:rFonts w:hint="eastAsia" w:ascii="楷体" w:hAnsi="楷体" w:eastAsia="楷体" w:cs="楷体"/>
          <w:b/>
          <w:color w:val="000000"/>
          <w:sz w:val="32"/>
          <w:szCs w:val="32"/>
        </w:rPr>
        <w:t>（四）项目绩效目标完成程度</w:t>
      </w:r>
      <w:bookmarkEnd w:id="18"/>
      <w:bookmarkEnd w:id="19"/>
    </w:p>
    <w:p>
      <w:pPr>
        <w:spacing w:line="560" w:lineRule="exact"/>
        <w:ind w:firstLine="640" w:firstLineChars="200"/>
        <w:rPr>
          <w:rFonts w:ascii="仿宋" w:hAnsi="仿宋" w:eastAsia="仿宋" w:cs="仿宋"/>
          <w:bCs/>
          <w:sz w:val="32"/>
          <w:szCs w:val="32"/>
        </w:rPr>
      </w:pPr>
      <w:r>
        <w:rPr>
          <w:rFonts w:hint="eastAsia" w:ascii="仿宋" w:hAnsi="仿宋" w:eastAsia="仿宋" w:cs="仿宋"/>
          <w:bCs/>
          <w:sz w:val="32"/>
          <w:szCs w:val="32"/>
        </w:rPr>
        <w:t>根据项目建设时“一案两书”的规划，项目完成了建设1#、2#生产厂房20505.68㎡、研发楼4946.54㎡、宿舍楼5854.74㎡、变压器房及污水处理室258㎡、附属用房（门卫室）46.68㎡、道路工程4398㎡、停车位69个、场地铺装766.36㎡、绿化5594.69㎡、亮化30盏、围墙504m、篮球场674㎡、室外给排水工程、室外强弱电拉设等工程；项目建成后已交租赁方广东北创光电科技股份有限公司使用，2023年上半年取得了租金收入91.67万。项目建成后引入的新产业，促进了智能制造等战略新兴产业的升级，调整了当地产业结构，加速了技术扩散，推动了邵阳市经济增长；项目带动了园区的上下游等配套产业的发展，刺激了内需，保持了社会需求的稳定增长；同时项目配套建设了沿街绿化设施能够美化城市景观，塑造环境优美、宜业、宜居的邵阳城新形象。</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20" w:name="_Toc1871"/>
      <w:r>
        <w:rPr>
          <w:rFonts w:hint="eastAsia" w:ascii="黑体" w:hAnsi="黑体" w:eastAsia="黑体" w:cs="黑体"/>
          <w:b/>
          <w:bCs/>
          <w:color w:val="000000"/>
          <w:sz w:val="32"/>
          <w:szCs w:val="32"/>
        </w:rPr>
        <w:t>二、绩效评价工作情况</w:t>
      </w:r>
      <w:bookmarkEnd w:id="20"/>
    </w:p>
    <w:p>
      <w:pPr>
        <w:spacing w:line="560" w:lineRule="exact"/>
        <w:ind w:firstLine="640" w:firstLineChars="200"/>
        <w:outlineLvl w:val="1"/>
        <w:rPr>
          <w:rFonts w:ascii="仿宋" w:hAnsi="仿宋" w:eastAsia="仿宋" w:cs="仿宋"/>
          <w:sz w:val="32"/>
          <w:szCs w:val="32"/>
        </w:rPr>
      </w:pPr>
      <w:bookmarkStart w:id="21" w:name="_Toc26581"/>
      <w:bookmarkStart w:id="22" w:name="_Toc17054"/>
      <w:bookmarkStart w:id="23" w:name="_Toc18733"/>
      <w:bookmarkStart w:id="24" w:name="_Toc17391"/>
      <w:bookmarkStart w:id="25" w:name="_Toc27744"/>
      <w:r>
        <w:rPr>
          <w:rFonts w:hint="eastAsia" w:ascii="仿宋" w:hAnsi="仿宋" w:eastAsia="仿宋" w:cs="仿宋"/>
          <w:sz w:val="32"/>
          <w:szCs w:val="32"/>
        </w:rPr>
        <w:t>根据《邵阳市财政局关于开展邵阳经济开发区光电光学制造生产基地建设项目债券资金绩效评价工作的通知》部署安排，湖南诚悦达会计师事务所（普通合伙）组建1个评价工作小组，于2023年7月10 日-15日开展现场绩效评价，评价小组主要采取查阅资料、重新计算、实地观察和问卷调查的方法完成现场评价工作。</w:t>
      </w:r>
      <w:bookmarkEnd w:id="21"/>
      <w:bookmarkEnd w:id="22"/>
      <w:bookmarkEnd w:id="23"/>
      <w:bookmarkEnd w:id="24"/>
    </w:p>
    <w:bookmarkEnd w:id="25"/>
    <w:p>
      <w:pPr>
        <w:tabs>
          <w:tab w:val="left" w:pos="5673"/>
        </w:tabs>
        <w:spacing w:line="560" w:lineRule="exact"/>
        <w:ind w:firstLine="643" w:firstLineChars="200"/>
        <w:outlineLvl w:val="0"/>
        <w:rPr>
          <w:rFonts w:ascii="黑体" w:hAnsi="黑体" w:eastAsia="黑体" w:cs="黑体"/>
          <w:b/>
          <w:bCs/>
          <w:color w:val="000000"/>
          <w:sz w:val="32"/>
          <w:szCs w:val="32"/>
        </w:rPr>
      </w:pPr>
      <w:bookmarkStart w:id="26" w:name="_Toc9554"/>
      <w:r>
        <w:rPr>
          <w:rFonts w:hint="eastAsia" w:ascii="黑体" w:hAnsi="黑体" w:eastAsia="黑体" w:cs="黑体"/>
          <w:b/>
          <w:bCs/>
          <w:color w:val="000000"/>
          <w:sz w:val="32"/>
          <w:szCs w:val="32"/>
        </w:rPr>
        <w:t>三、绩效评价结论</w:t>
      </w:r>
      <w:bookmarkEnd w:id="26"/>
    </w:p>
    <w:p>
      <w:pPr>
        <w:spacing w:line="560" w:lineRule="exact"/>
        <w:ind w:firstLine="643" w:firstLineChars="200"/>
        <w:outlineLvl w:val="1"/>
        <w:rPr>
          <w:rFonts w:ascii="楷体" w:hAnsi="楷体" w:eastAsia="楷体" w:cs="楷体"/>
          <w:b/>
          <w:color w:val="000000"/>
          <w:sz w:val="32"/>
          <w:szCs w:val="32"/>
        </w:rPr>
      </w:pPr>
      <w:bookmarkStart w:id="27" w:name="_Toc23034"/>
      <w:bookmarkStart w:id="28" w:name="_Toc6484"/>
      <w:r>
        <w:rPr>
          <w:rFonts w:hint="eastAsia" w:ascii="楷体" w:hAnsi="楷体" w:eastAsia="楷体" w:cs="楷体"/>
          <w:b/>
          <w:color w:val="000000"/>
          <w:sz w:val="32"/>
          <w:szCs w:val="32"/>
        </w:rPr>
        <w:t>（一）绩效评价综合结论</w:t>
      </w:r>
      <w:bookmarkEnd w:id="27"/>
      <w:bookmarkEnd w:id="28"/>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从总体情况来看，项目立项依据充分，债券发行符合国家发行审批程序，项目资金分配合理，专债资金到位及时，组织机构健全，但项目事前绩效评估有所缺失，未制定明确的绩效目标；资金执行不及时，合同签订不规范，部分工程存在重复施工浪费情况；项目实际完工产出时间滞后于计划完工时间。</w:t>
      </w:r>
    </w:p>
    <w:p>
      <w:pPr>
        <w:spacing w:line="560" w:lineRule="exact"/>
        <w:ind w:firstLine="643" w:firstLineChars="200"/>
        <w:outlineLvl w:val="1"/>
        <w:rPr>
          <w:rFonts w:ascii="楷体" w:hAnsi="楷体" w:eastAsia="楷体" w:cs="楷体"/>
          <w:b/>
          <w:color w:val="000000"/>
          <w:sz w:val="32"/>
          <w:szCs w:val="32"/>
        </w:rPr>
      </w:pPr>
      <w:bookmarkStart w:id="29" w:name="_Toc46"/>
      <w:bookmarkStart w:id="30" w:name="_Toc6892"/>
      <w:r>
        <w:rPr>
          <w:rFonts w:hint="eastAsia" w:ascii="楷体" w:hAnsi="楷体" w:eastAsia="楷体" w:cs="楷体"/>
          <w:b/>
          <w:color w:val="000000"/>
          <w:sz w:val="32"/>
          <w:szCs w:val="32"/>
        </w:rPr>
        <w:t>（二）绩效评价得分情况</w:t>
      </w:r>
      <w:bookmarkEnd w:id="29"/>
      <w:bookmarkEnd w:id="30"/>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邵阳经济开发区光电光学制造生产基地建设项目绩效评价得分为</w:t>
      </w:r>
      <w:r>
        <w:rPr>
          <w:rFonts w:hint="eastAsia" w:ascii="仿宋" w:hAnsi="仿宋" w:eastAsia="仿宋" w:cs="仿宋"/>
          <w:sz w:val="32"/>
          <w:szCs w:val="32"/>
          <w:lang w:val="en-US" w:eastAsia="zh-CN"/>
        </w:rPr>
        <w:t>80</w:t>
      </w: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2分，评价等级为“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”。一级指标具体得分情况详见下表：</w:t>
      </w:r>
    </w:p>
    <w:p>
      <w:pPr>
        <w:spacing w:line="560" w:lineRule="exact"/>
        <w:ind w:firstLine="643" w:firstLineChars="200"/>
        <w:jc w:val="center"/>
        <w:outlineLvl w:val="0"/>
        <w:rPr>
          <w:rFonts w:ascii="楷体" w:hAnsi="楷体" w:eastAsia="楷体" w:cs="楷体"/>
          <w:b/>
          <w:color w:val="000000"/>
          <w:sz w:val="32"/>
          <w:szCs w:val="32"/>
        </w:rPr>
      </w:pPr>
      <w:bookmarkStart w:id="31" w:name="_Toc25891"/>
      <w:bookmarkStart w:id="32" w:name="_Toc21769"/>
      <w:bookmarkStart w:id="33" w:name="_Toc22654"/>
      <w:r>
        <w:rPr>
          <w:rFonts w:hint="eastAsia" w:ascii="楷体" w:hAnsi="楷体" w:eastAsia="楷体" w:cs="楷体"/>
          <w:b/>
          <w:color w:val="000000"/>
          <w:sz w:val="32"/>
          <w:szCs w:val="32"/>
        </w:rPr>
        <w:t>绩效评价得分情况</w:t>
      </w:r>
      <w:bookmarkEnd w:id="31"/>
      <w:bookmarkEnd w:id="32"/>
      <w:bookmarkEnd w:id="33"/>
    </w:p>
    <w:tbl>
      <w:tblPr>
        <w:tblStyle w:val="18"/>
        <w:tblW w:w="87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71"/>
        <w:gridCol w:w="2169"/>
        <w:gridCol w:w="2032"/>
        <w:gridCol w:w="23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blHeader/>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一级指标</w:t>
            </w:r>
          </w:p>
        </w:tc>
        <w:tc>
          <w:tcPr>
            <w:tcW w:w="216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指标分值</w:t>
            </w:r>
          </w:p>
        </w:tc>
        <w:tc>
          <w:tcPr>
            <w:tcW w:w="2032"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评价得分</w:t>
            </w:r>
          </w:p>
        </w:tc>
        <w:tc>
          <w:tcPr>
            <w:tcW w:w="2392"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决策</w:t>
            </w:r>
          </w:p>
        </w:tc>
        <w:tc>
          <w:tcPr>
            <w:tcW w:w="2169"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15</w:t>
            </w:r>
          </w:p>
        </w:tc>
        <w:tc>
          <w:tcPr>
            <w:tcW w:w="2032" w:type="dxa"/>
            <w:shd w:val="clear" w:color="auto" w:fill="auto"/>
            <w:vAlign w:val="center"/>
          </w:tcPr>
          <w:p>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p>
        </w:tc>
        <w:tc>
          <w:tcPr>
            <w:tcW w:w="239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66.67</w:t>
            </w:r>
            <w:r>
              <w:rPr>
                <w:rFonts w:hint="eastAsia" w:ascii="仿宋" w:hAnsi="仿宋" w:eastAsia="仿宋" w:cs="仿宋"/>
                <w:sz w:val="28"/>
                <w:szCs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过程</w:t>
            </w:r>
          </w:p>
        </w:tc>
        <w:tc>
          <w:tcPr>
            <w:tcW w:w="2169"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25</w:t>
            </w:r>
          </w:p>
        </w:tc>
        <w:tc>
          <w:tcPr>
            <w:tcW w:w="203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19.1</w:t>
            </w:r>
            <w:r>
              <w:rPr>
                <w:rFonts w:hint="eastAsia" w:ascii="仿宋" w:hAnsi="仿宋" w:eastAsia="仿宋" w:cs="仿宋"/>
                <w:sz w:val="28"/>
                <w:szCs w:val="28"/>
              </w:rPr>
              <w:t>2</w:t>
            </w:r>
          </w:p>
        </w:tc>
        <w:tc>
          <w:tcPr>
            <w:tcW w:w="239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76.4</w:t>
            </w:r>
            <w:r>
              <w:rPr>
                <w:rFonts w:hint="eastAsia" w:ascii="仿宋" w:hAnsi="仿宋" w:eastAsia="仿宋" w:cs="仿宋"/>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产出</w:t>
            </w:r>
          </w:p>
        </w:tc>
        <w:tc>
          <w:tcPr>
            <w:tcW w:w="2169"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35</w:t>
            </w:r>
          </w:p>
        </w:tc>
        <w:tc>
          <w:tcPr>
            <w:tcW w:w="2032" w:type="dxa"/>
            <w:shd w:val="clear" w:color="auto" w:fill="auto"/>
            <w:vAlign w:val="center"/>
          </w:tcPr>
          <w:p>
            <w:pPr>
              <w:spacing w:line="56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39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效果</w:t>
            </w:r>
          </w:p>
        </w:tc>
        <w:tc>
          <w:tcPr>
            <w:tcW w:w="2169"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25</w:t>
            </w:r>
          </w:p>
        </w:tc>
        <w:tc>
          <w:tcPr>
            <w:tcW w:w="2032" w:type="dxa"/>
            <w:shd w:val="clear" w:color="auto" w:fill="auto"/>
            <w:vAlign w:val="center"/>
          </w:tcPr>
          <w:p>
            <w:pPr>
              <w:spacing w:line="56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23.5</w:t>
            </w:r>
          </w:p>
        </w:tc>
        <w:tc>
          <w:tcPr>
            <w:tcW w:w="239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94</w:t>
            </w:r>
            <w:r>
              <w:rPr>
                <w:rFonts w:hint="eastAsia" w:ascii="仿宋" w:hAnsi="仿宋" w:eastAsia="仿宋" w:cs="仿宋"/>
                <w:sz w:val="28"/>
                <w:szCs w:val="28"/>
              </w:rPr>
              <w:t>.00%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2171"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合计</w:t>
            </w:r>
          </w:p>
        </w:tc>
        <w:tc>
          <w:tcPr>
            <w:tcW w:w="216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100</w:t>
            </w:r>
          </w:p>
        </w:tc>
        <w:tc>
          <w:tcPr>
            <w:tcW w:w="2032" w:type="dxa"/>
            <w:shd w:val="clear" w:color="auto" w:fill="auto"/>
            <w:vAlign w:val="center"/>
          </w:tcPr>
          <w:p>
            <w:pPr>
              <w:spacing w:line="56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80.62</w:t>
            </w:r>
          </w:p>
        </w:tc>
        <w:tc>
          <w:tcPr>
            <w:tcW w:w="2392" w:type="dxa"/>
            <w:shd w:val="clear" w:color="auto" w:fill="auto"/>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lang w:val="en-US" w:eastAsia="zh-CN"/>
              </w:rPr>
              <w:t>80.6</w:t>
            </w:r>
            <w:r>
              <w:rPr>
                <w:rFonts w:hint="eastAsia" w:ascii="仿宋" w:hAnsi="仿宋" w:eastAsia="仿宋" w:cs="仿宋"/>
                <w:sz w:val="28"/>
                <w:szCs w:val="28"/>
              </w:rPr>
              <w:t>2%</w:t>
            </w:r>
          </w:p>
        </w:tc>
      </w:tr>
    </w:tbl>
    <w:p>
      <w:pPr>
        <w:tabs>
          <w:tab w:val="left" w:pos="5673"/>
        </w:tabs>
        <w:spacing w:line="560" w:lineRule="exact"/>
        <w:ind w:firstLine="643" w:firstLineChars="200"/>
        <w:outlineLvl w:val="0"/>
        <w:rPr>
          <w:rFonts w:ascii="黑体" w:hAnsi="黑体" w:eastAsia="黑体" w:cs="黑体"/>
          <w:b/>
          <w:bCs/>
          <w:color w:val="000000"/>
          <w:sz w:val="32"/>
          <w:szCs w:val="32"/>
        </w:rPr>
      </w:pPr>
      <w:bookmarkStart w:id="34" w:name="_Toc1837"/>
      <w:r>
        <w:rPr>
          <w:rFonts w:hint="eastAsia" w:ascii="黑体" w:hAnsi="黑体" w:eastAsia="黑体" w:cs="黑体"/>
          <w:b/>
          <w:bCs/>
          <w:color w:val="000000"/>
          <w:sz w:val="32"/>
          <w:szCs w:val="32"/>
        </w:rPr>
        <w:t>四、绩效评价指标分析</w:t>
      </w:r>
      <w:bookmarkEnd w:id="34"/>
    </w:p>
    <w:p>
      <w:pPr>
        <w:spacing w:line="560" w:lineRule="exact"/>
        <w:ind w:firstLine="643" w:firstLineChars="200"/>
        <w:outlineLvl w:val="1"/>
        <w:rPr>
          <w:rFonts w:ascii="楷体" w:hAnsi="楷体" w:eastAsia="楷体" w:cs="楷体"/>
          <w:b/>
          <w:color w:val="000000"/>
          <w:sz w:val="32"/>
          <w:szCs w:val="32"/>
        </w:rPr>
      </w:pPr>
      <w:bookmarkStart w:id="35" w:name="_Toc31134"/>
      <w:r>
        <w:rPr>
          <w:rFonts w:hint="eastAsia" w:ascii="楷体" w:hAnsi="楷体" w:eastAsia="楷体" w:cs="楷体"/>
          <w:b/>
          <w:color w:val="000000"/>
          <w:sz w:val="32"/>
          <w:szCs w:val="32"/>
        </w:rPr>
        <w:t>（一）项目决策情况。该项分值15分，计1</w:t>
      </w:r>
      <w:r>
        <w:rPr>
          <w:rFonts w:ascii="楷体" w:hAnsi="楷体" w:eastAsia="楷体" w:cs="楷体"/>
          <w:b/>
          <w:color w:val="000000"/>
          <w:sz w:val="32"/>
          <w:szCs w:val="32"/>
        </w:rPr>
        <w:t>0</w:t>
      </w:r>
      <w:r>
        <w:rPr>
          <w:rFonts w:hint="eastAsia" w:ascii="楷体" w:hAnsi="楷体" w:eastAsia="楷体" w:cs="楷体"/>
          <w:b/>
          <w:color w:val="000000"/>
          <w:sz w:val="32"/>
          <w:szCs w:val="32"/>
        </w:rPr>
        <w:t>分</w:t>
      </w:r>
      <w:bookmarkEnd w:id="35"/>
    </w:p>
    <w:p>
      <w:pPr>
        <w:spacing w:line="560" w:lineRule="exact"/>
        <w:ind w:firstLine="643" w:firstLineChars="200"/>
        <w:outlineLvl w:val="2"/>
        <w:rPr>
          <w:rFonts w:ascii="仿宋" w:hAnsi="仿宋" w:eastAsia="仿宋" w:cs="仿宋"/>
          <w:b/>
          <w:bCs/>
          <w:sz w:val="32"/>
          <w:szCs w:val="32"/>
        </w:rPr>
      </w:pPr>
      <w:bookmarkStart w:id="36" w:name="_Toc18621"/>
      <w:bookmarkStart w:id="37" w:name="_Toc29201"/>
      <w:bookmarkStart w:id="38" w:name="_Toc7231"/>
      <w:r>
        <w:rPr>
          <w:rFonts w:hint="eastAsia" w:ascii="仿宋" w:hAnsi="仿宋" w:eastAsia="仿宋" w:cs="仿宋"/>
          <w:b/>
          <w:bCs/>
          <w:sz w:val="32"/>
          <w:szCs w:val="32"/>
        </w:rPr>
        <w:t>1.项目立项7分，实得</w:t>
      </w: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分：</w:t>
      </w:r>
      <w:bookmarkEnd w:id="36"/>
      <w:bookmarkEnd w:id="37"/>
      <w:bookmarkEnd w:id="38"/>
    </w:p>
    <w:p>
      <w:pPr>
        <w:spacing w:line="560" w:lineRule="exact"/>
        <w:ind w:firstLine="640" w:firstLineChars="200"/>
        <w:rPr>
          <w:rFonts w:ascii="仿宋" w:hAnsi="仿宋" w:eastAsia="仿宋" w:cs="仿宋"/>
          <w:color w:val="0000FF"/>
          <w:sz w:val="32"/>
          <w:szCs w:val="32"/>
        </w:rPr>
      </w:pPr>
      <w:bookmarkStart w:id="39" w:name="_Toc18065"/>
      <w:bookmarkStart w:id="40" w:name="_Toc22426"/>
      <w:r>
        <w:rPr>
          <w:rFonts w:hint="eastAsia" w:ascii="仿宋" w:hAnsi="仿宋" w:eastAsia="仿宋" w:cs="仿宋"/>
          <w:sz w:val="32"/>
          <w:szCs w:val="32"/>
        </w:rPr>
        <w:t>（1）项目储备（2分）：项目不属于专项债券项目负面清单的范围；项目有专业机构出具的的“一案两书”，无扣分。</w:t>
      </w:r>
      <w:bookmarkEnd w:id="39"/>
      <w:bookmarkEnd w:id="40"/>
    </w:p>
    <w:p>
      <w:pPr>
        <w:spacing w:line="560" w:lineRule="exact"/>
        <w:ind w:firstLine="640" w:firstLineChars="200"/>
        <w:rPr>
          <w:rFonts w:ascii="仿宋" w:hAnsi="仿宋" w:eastAsia="仿宋" w:cs="仿宋"/>
          <w:color w:val="0000FF"/>
          <w:sz w:val="32"/>
          <w:szCs w:val="32"/>
        </w:rPr>
      </w:pPr>
      <w:bookmarkStart w:id="41" w:name="_Toc14542"/>
      <w:bookmarkStart w:id="42" w:name="_Toc18006"/>
      <w:r>
        <w:rPr>
          <w:rFonts w:hint="eastAsia" w:ascii="仿宋" w:hAnsi="仿宋" w:eastAsia="仿宋" w:cs="仿宋"/>
          <w:sz w:val="32"/>
          <w:szCs w:val="32"/>
        </w:rPr>
        <w:t>（2）立项依据充分性（3分）：项目立项符合国家法律法规、行业发展政策、省委省政府决策部署；项目与部门职责范围相符，属于部门履职所需；项目与相关部门同类预算支出或部门内部相关预算支出无重复，无扣分。</w:t>
      </w:r>
      <w:bookmarkEnd w:id="41"/>
      <w:bookmarkEnd w:id="42"/>
    </w:p>
    <w:p>
      <w:pPr>
        <w:spacing w:line="560" w:lineRule="exact"/>
        <w:ind w:firstLine="640" w:firstLineChars="200"/>
        <w:rPr>
          <w:rFonts w:ascii="仿宋" w:hAnsi="仿宋" w:eastAsia="仿宋" w:cs="仿宋"/>
          <w:sz w:val="32"/>
          <w:szCs w:val="32"/>
        </w:rPr>
      </w:pPr>
      <w:bookmarkStart w:id="43" w:name="_Toc13678"/>
      <w:bookmarkStart w:id="44" w:name="_Toc28174"/>
      <w:r>
        <w:rPr>
          <w:rFonts w:hint="eastAsia" w:ascii="仿宋" w:hAnsi="仿宋" w:eastAsia="仿宋" w:cs="仿宋"/>
          <w:sz w:val="32"/>
          <w:szCs w:val="32"/>
        </w:rPr>
        <w:t>（3）立项程序规范性（2分）：项目按规定完成勘察、设计、用地、环评、开工许可等前期批复程序；项目审批文件、手续符合相关要求；项目经过必要的专家论证、风险评估、集体决策，无扣分。</w:t>
      </w:r>
      <w:bookmarkEnd w:id="43"/>
      <w:bookmarkEnd w:id="44"/>
    </w:p>
    <w:p>
      <w:pPr>
        <w:spacing w:line="560" w:lineRule="exact"/>
        <w:ind w:firstLine="643" w:firstLineChars="200"/>
        <w:outlineLvl w:val="2"/>
        <w:rPr>
          <w:rFonts w:ascii="仿宋" w:hAnsi="仿宋" w:eastAsia="仿宋" w:cs="仿宋"/>
          <w:b/>
          <w:bCs/>
          <w:sz w:val="32"/>
          <w:szCs w:val="32"/>
        </w:rPr>
      </w:pPr>
      <w:bookmarkStart w:id="45" w:name="_Toc7469"/>
      <w:bookmarkStart w:id="46" w:name="_Toc22739"/>
      <w:bookmarkStart w:id="47" w:name="_Toc16956"/>
      <w:r>
        <w:rPr>
          <w:rFonts w:hint="eastAsia" w:ascii="仿宋" w:hAnsi="仿宋" w:eastAsia="仿宋" w:cs="仿宋"/>
          <w:b/>
          <w:bCs/>
          <w:sz w:val="32"/>
          <w:szCs w:val="32"/>
        </w:rPr>
        <w:t>2.绩效目标5分，实得</w:t>
      </w:r>
      <w:r>
        <w:rPr>
          <w:rFonts w:hint="eastAsia" w:ascii="仿宋" w:hAnsi="仿宋" w:eastAsia="仿宋" w:cs="仿宋"/>
          <w:b/>
          <w:bCs/>
          <w:sz w:val="32"/>
          <w:szCs w:val="32"/>
          <w:lang w:val="en-US" w:eastAsia="zh-CN"/>
        </w:rPr>
        <w:t>0</w:t>
      </w:r>
      <w:r>
        <w:rPr>
          <w:rFonts w:hint="eastAsia" w:ascii="仿宋" w:hAnsi="仿宋" w:eastAsia="仿宋" w:cs="仿宋"/>
          <w:b/>
          <w:bCs/>
          <w:sz w:val="32"/>
          <w:szCs w:val="32"/>
        </w:rPr>
        <w:t>分：</w:t>
      </w:r>
      <w:bookmarkEnd w:id="45"/>
      <w:bookmarkEnd w:id="46"/>
      <w:bookmarkEnd w:id="47"/>
    </w:p>
    <w:p>
      <w:pPr>
        <w:spacing w:line="560" w:lineRule="exact"/>
        <w:ind w:firstLine="640" w:firstLineChars="200"/>
        <w:rPr>
          <w:rFonts w:ascii="仿宋" w:hAnsi="仿宋" w:eastAsia="仿宋" w:cs="仿宋"/>
          <w:color w:val="0000FF"/>
          <w:sz w:val="32"/>
          <w:szCs w:val="32"/>
        </w:rPr>
      </w:pPr>
      <w:bookmarkStart w:id="48" w:name="_Toc20997"/>
      <w:bookmarkStart w:id="49" w:name="_Toc11684"/>
      <w:r>
        <w:rPr>
          <w:rFonts w:hint="eastAsia" w:ascii="仿宋" w:hAnsi="仿宋" w:eastAsia="仿宋" w:cs="仿宋"/>
          <w:sz w:val="32"/>
          <w:szCs w:val="32"/>
        </w:rPr>
        <w:t>（1）绩效目标合理性（3分）：根据《邵阳市本级2021年园区建设专项债券邵阳经济开发区光学光电制造生产基地建设项目预期收益与融资平衡方案》了解到，项目单位未设定清晰的绩效目标</w:t>
      </w:r>
      <w:bookmarkEnd w:id="48"/>
      <w:bookmarkEnd w:id="49"/>
      <w:r>
        <w:rPr>
          <w:rFonts w:hint="eastAsia" w:ascii="仿宋" w:hAnsi="仿宋" w:eastAsia="仿宋" w:cs="仿宋"/>
          <w:sz w:val="32"/>
          <w:szCs w:val="32"/>
        </w:rPr>
        <w:t>，扣</w:t>
      </w:r>
      <w:r>
        <w:rPr>
          <w:rFonts w:ascii="仿宋" w:hAnsi="仿宋" w:eastAsia="仿宋" w:cs="仿宋"/>
          <w:sz w:val="32"/>
          <w:szCs w:val="32"/>
        </w:rPr>
        <w:t>3</w:t>
      </w:r>
      <w:r>
        <w:rPr>
          <w:rFonts w:hint="eastAsia" w:ascii="仿宋" w:hAnsi="仿宋" w:eastAsia="仿宋" w:cs="仿宋"/>
          <w:sz w:val="32"/>
          <w:szCs w:val="32"/>
        </w:rPr>
        <w:t>分。</w:t>
      </w:r>
    </w:p>
    <w:p>
      <w:pPr>
        <w:spacing w:line="560" w:lineRule="exact"/>
        <w:ind w:firstLine="640" w:firstLineChars="200"/>
        <w:rPr>
          <w:rFonts w:ascii="仿宋" w:hAnsi="仿宋" w:eastAsia="仿宋" w:cs="仿宋"/>
          <w:color w:val="0000FF"/>
          <w:sz w:val="32"/>
          <w:szCs w:val="32"/>
        </w:rPr>
      </w:pPr>
      <w:bookmarkStart w:id="50" w:name="_Toc4546"/>
      <w:bookmarkStart w:id="51" w:name="_Toc3502"/>
      <w:r>
        <w:rPr>
          <w:rFonts w:hint="eastAsia" w:ascii="仿宋" w:hAnsi="仿宋" w:eastAsia="仿宋" w:cs="仿宋"/>
          <w:sz w:val="32"/>
          <w:szCs w:val="32"/>
        </w:rPr>
        <w:t>（2）绩效指标明确性（2分）：从《邵阳市本级2021年园区建设专项债券邵阳经济开发区光学光电制造生产基地建设项目预期收益与融资平衡方案》中设定的项目基本情况可以看出项目清晰、可量化的建设内容，</w:t>
      </w:r>
      <w:bookmarkEnd w:id="50"/>
      <w:bookmarkEnd w:id="51"/>
      <w:r>
        <w:rPr>
          <w:rFonts w:hint="eastAsia" w:ascii="仿宋" w:hAnsi="仿宋" w:eastAsia="仿宋" w:cs="仿宋"/>
          <w:sz w:val="32"/>
          <w:szCs w:val="32"/>
        </w:rPr>
        <w:t>项目预期产出和效益符合正常的业绩水平，因未制定明确的绩效目标，扣</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spacing w:line="560" w:lineRule="exact"/>
        <w:ind w:firstLine="643" w:firstLineChars="200"/>
        <w:outlineLvl w:val="2"/>
        <w:rPr>
          <w:rFonts w:ascii="仿宋" w:hAnsi="仿宋" w:eastAsia="仿宋" w:cs="仿宋"/>
          <w:b/>
          <w:bCs/>
          <w:sz w:val="32"/>
          <w:szCs w:val="32"/>
        </w:rPr>
      </w:pPr>
      <w:bookmarkStart w:id="52" w:name="_Toc12495"/>
      <w:bookmarkStart w:id="53" w:name="_Toc6118"/>
      <w:bookmarkStart w:id="54" w:name="_Toc21142"/>
      <w:r>
        <w:rPr>
          <w:rFonts w:hint="eastAsia" w:ascii="仿宋" w:hAnsi="仿宋" w:eastAsia="仿宋" w:cs="仿宋"/>
          <w:b/>
          <w:bCs/>
          <w:sz w:val="32"/>
          <w:szCs w:val="32"/>
        </w:rPr>
        <w:t>3.资金投入3分，实得3分：</w:t>
      </w:r>
      <w:bookmarkEnd w:id="52"/>
      <w:bookmarkEnd w:id="53"/>
      <w:bookmarkEnd w:id="54"/>
    </w:p>
    <w:p>
      <w:pPr>
        <w:spacing w:line="560" w:lineRule="exact"/>
        <w:ind w:firstLine="640" w:firstLineChars="200"/>
        <w:rPr>
          <w:rFonts w:ascii="仿宋" w:hAnsi="仿宋" w:eastAsia="仿宋" w:cs="仿宋"/>
          <w:sz w:val="32"/>
          <w:szCs w:val="32"/>
        </w:rPr>
      </w:pPr>
      <w:bookmarkStart w:id="55" w:name="_Toc8049"/>
      <w:bookmarkStart w:id="56" w:name="_Toc22282"/>
      <w:r>
        <w:rPr>
          <w:rFonts w:hint="eastAsia" w:ascii="仿宋" w:hAnsi="仿宋" w:eastAsia="仿宋" w:cs="仿宋"/>
          <w:sz w:val="32"/>
          <w:szCs w:val="32"/>
        </w:rPr>
        <w:t>预算编制科学性（3分）：项目专项债券实施方案中的资金来源及收益等情况与绩效一致。项目已编制可研报告、获得发改部门可研批复，环评、用地、选址等合规性要件齐全，已编制项目收益与融资自求平衡方案、财务评价报告、法律意见书，项目收益测算合理，项目收益与融资自求平衡，项目融资与偿债能力相匹配，项目可行性强，符合专项债券政策规定和发行条件</w:t>
      </w:r>
      <w:bookmarkEnd w:id="55"/>
      <w:bookmarkEnd w:id="56"/>
      <w:r>
        <w:rPr>
          <w:rFonts w:hint="eastAsia" w:ascii="仿宋" w:hAnsi="仿宋" w:eastAsia="仿宋" w:cs="仿宋"/>
          <w:sz w:val="32"/>
          <w:szCs w:val="32"/>
        </w:rPr>
        <w:t>，无扣分。</w:t>
      </w:r>
    </w:p>
    <w:p>
      <w:pPr>
        <w:spacing w:line="560" w:lineRule="exact"/>
        <w:ind w:firstLine="643" w:firstLineChars="200"/>
        <w:outlineLvl w:val="1"/>
        <w:rPr>
          <w:rFonts w:ascii="楷体" w:hAnsi="楷体" w:eastAsia="楷体" w:cs="楷体"/>
          <w:b/>
          <w:color w:val="000000"/>
          <w:sz w:val="32"/>
          <w:szCs w:val="32"/>
        </w:rPr>
      </w:pPr>
      <w:bookmarkStart w:id="57" w:name="_Toc16308"/>
      <w:bookmarkStart w:id="58" w:name="_Toc22195"/>
      <w:r>
        <w:rPr>
          <w:rFonts w:hint="eastAsia" w:ascii="楷体" w:hAnsi="楷体" w:eastAsia="楷体" w:cs="楷体"/>
          <w:b/>
          <w:color w:val="000000"/>
          <w:sz w:val="32"/>
          <w:szCs w:val="32"/>
        </w:rPr>
        <w:t>（二）项目过程情况。该项分值25分，计</w:t>
      </w:r>
      <w:r>
        <w:rPr>
          <w:rFonts w:hint="eastAsia" w:ascii="楷体" w:hAnsi="楷体" w:eastAsia="楷体" w:cs="楷体"/>
          <w:b/>
          <w:color w:val="000000"/>
          <w:sz w:val="32"/>
          <w:szCs w:val="32"/>
          <w:lang w:val="en-US" w:eastAsia="zh-CN"/>
        </w:rPr>
        <w:t>19.1</w:t>
      </w:r>
      <w:r>
        <w:rPr>
          <w:rFonts w:hint="eastAsia" w:ascii="楷体" w:hAnsi="楷体" w:eastAsia="楷体" w:cs="楷体"/>
          <w:b/>
          <w:color w:val="000000"/>
          <w:sz w:val="32"/>
          <w:szCs w:val="32"/>
        </w:rPr>
        <w:t>2分</w:t>
      </w:r>
      <w:bookmarkEnd w:id="57"/>
      <w:bookmarkEnd w:id="58"/>
    </w:p>
    <w:p>
      <w:pPr>
        <w:spacing w:line="560" w:lineRule="exact"/>
        <w:ind w:firstLine="643" w:firstLineChars="200"/>
        <w:outlineLvl w:val="2"/>
        <w:rPr>
          <w:rFonts w:ascii="仿宋" w:hAnsi="仿宋" w:eastAsia="仿宋" w:cs="仿宋"/>
          <w:b/>
          <w:bCs/>
          <w:sz w:val="32"/>
          <w:szCs w:val="32"/>
        </w:rPr>
      </w:pPr>
      <w:bookmarkStart w:id="59" w:name="_Toc26573"/>
      <w:bookmarkStart w:id="60" w:name="_Toc5400"/>
      <w:bookmarkStart w:id="61" w:name="_Toc13491"/>
      <w:r>
        <w:rPr>
          <w:rFonts w:hint="eastAsia" w:ascii="仿宋" w:hAnsi="仿宋" w:eastAsia="仿宋" w:cs="仿宋"/>
          <w:b/>
          <w:bCs/>
          <w:sz w:val="32"/>
          <w:szCs w:val="32"/>
        </w:rPr>
        <w:t>1.资金管理8分，实得</w:t>
      </w:r>
      <w:r>
        <w:rPr>
          <w:rFonts w:ascii="仿宋" w:hAnsi="仿宋" w:eastAsia="仿宋" w:cs="仿宋"/>
          <w:b/>
          <w:bCs/>
          <w:sz w:val="32"/>
          <w:szCs w:val="32"/>
        </w:rPr>
        <w:t>6</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2分：</w:t>
      </w:r>
      <w:bookmarkEnd w:id="59"/>
      <w:bookmarkEnd w:id="60"/>
      <w:bookmarkEnd w:id="61"/>
    </w:p>
    <w:p>
      <w:pPr>
        <w:spacing w:line="560" w:lineRule="exact"/>
        <w:ind w:firstLine="640" w:firstLineChars="200"/>
        <w:rPr>
          <w:rFonts w:ascii="仿宋" w:hAnsi="仿宋" w:eastAsia="仿宋" w:cs="仿宋"/>
          <w:sz w:val="32"/>
          <w:szCs w:val="32"/>
        </w:rPr>
      </w:pPr>
      <w:bookmarkStart w:id="62" w:name="_Toc17010"/>
      <w:bookmarkStart w:id="63" w:name="_Toc26853"/>
      <w:r>
        <w:rPr>
          <w:rFonts w:hint="eastAsia" w:ascii="仿宋" w:hAnsi="仿宋" w:eastAsia="仿宋" w:cs="仿宋"/>
          <w:sz w:val="32"/>
          <w:szCs w:val="32"/>
        </w:rPr>
        <w:t>（1）资金到位率（1.5分）：债券资金到位率=（实际到位资金/预算资金）×100%=（6000/6000）×100%=100%。资金到位率100%，无扣分。</w:t>
      </w:r>
      <w:bookmarkEnd w:id="62"/>
      <w:bookmarkEnd w:id="63"/>
    </w:p>
    <w:p>
      <w:pPr>
        <w:spacing w:line="560" w:lineRule="exact"/>
        <w:ind w:firstLine="640" w:firstLineChars="200"/>
        <w:rPr>
          <w:rFonts w:ascii="仿宋" w:hAnsi="仿宋" w:eastAsia="仿宋" w:cs="仿宋"/>
          <w:color w:val="0000FF"/>
          <w:sz w:val="32"/>
          <w:szCs w:val="32"/>
        </w:rPr>
      </w:pPr>
      <w:bookmarkStart w:id="64" w:name="_Toc24258"/>
      <w:bookmarkStart w:id="65" w:name="_Toc5444"/>
      <w:r>
        <w:rPr>
          <w:rFonts w:hint="eastAsia" w:ascii="仿宋" w:hAnsi="仿宋" w:eastAsia="仿宋" w:cs="仿宋"/>
          <w:sz w:val="32"/>
          <w:szCs w:val="32"/>
        </w:rPr>
        <w:t>（2）预算执行率（1.5分）：预算执行率=（实际支出资金/实际到位资金）×100%=(3693.32/6000)×100%=61.56%，预算执行率61.56%，扣0.58分。</w:t>
      </w:r>
      <w:bookmarkEnd w:id="64"/>
      <w:bookmarkEnd w:id="65"/>
    </w:p>
    <w:p>
      <w:pPr>
        <w:spacing w:line="560" w:lineRule="exact"/>
        <w:ind w:firstLine="640" w:firstLineChars="200"/>
        <w:rPr>
          <w:rFonts w:ascii="仿宋" w:hAnsi="仿宋" w:eastAsia="仿宋" w:cs="仿宋"/>
          <w:sz w:val="32"/>
          <w:szCs w:val="32"/>
        </w:rPr>
      </w:pPr>
      <w:bookmarkStart w:id="66" w:name="_Toc2040"/>
      <w:bookmarkStart w:id="67" w:name="_Toc21996"/>
      <w:r>
        <w:rPr>
          <w:rFonts w:hint="eastAsia" w:ascii="仿宋" w:hAnsi="仿宋" w:eastAsia="仿宋" w:cs="仿宋"/>
          <w:sz w:val="32"/>
          <w:szCs w:val="32"/>
        </w:rPr>
        <w:t>（3）资金使用合规性（3分）：项目制定了资金财务管理制度，项目资金使用符合相关的资金财务管理制度规定，无扣分。</w:t>
      </w:r>
      <w:bookmarkEnd w:id="66"/>
      <w:bookmarkEnd w:id="67"/>
    </w:p>
    <w:p>
      <w:pPr>
        <w:spacing w:line="560" w:lineRule="exact"/>
        <w:ind w:firstLine="640" w:firstLineChars="200"/>
        <w:rPr>
          <w:rFonts w:ascii="仿宋" w:hAnsi="仿宋" w:eastAsia="仿宋" w:cs="仿宋"/>
          <w:color w:val="0000FF"/>
          <w:sz w:val="32"/>
          <w:szCs w:val="32"/>
        </w:rPr>
      </w:pPr>
      <w:bookmarkStart w:id="68" w:name="_Toc8335"/>
      <w:bookmarkStart w:id="69" w:name="_Toc4183"/>
      <w:r>
        <w:rPr>
          <w:rFonts w:hint="eastAsia" w:ascii="仿宋" w:hAnsi="仿宋" w:eastAsia="仿宋" w:cs="仿宋"/>
          <w:sz w:val="32"/>
          <w:szCs w:val="32"/>
        </w:rPr>
        <w:t>（4）还本付息（2分）：编制了项目还本付息计划，截至</w:t>
      </w:r>
      <w:r>
        <w:rPr>
          <w:rFonts w:hint="eastAsia" w:ascii="仿宋" w:hAnsi="仿宋" w:eastAsia="仿宋" w:cs="仿宋"/>
          <w:sz w:val="32"/>
          <w:szCs w:val="32"/>
          <w:lang w:val="en-US" w:eastAsia="zh-CN"/>
        </w:rPr>
        <w:t>2023年6月</w:t>
      </w:r>
      <w:r>
        <w:rPr>
          <w:rFonts w:hint="eastAsia" w:ascii="仿宋" w:hAnsi="仿宋" w:eastAsia="仿宋" w:cs="仿宋"/>
          <w:sz w:val="32"/>
          <w:szCs w:val="32"/>
        </w:rPr>
        <w:t>项目单位已</w:t>
      </w:r>
      <w:r>
        <w:rPr>
          <w:rFonts w:hint="eastAsia" w:ascii="仿宋" w:hAnsi="仿宋" w:eastAsia="仿宋" w:cs="仿宋"/>
          <w:sz w:val="32"/>
          <w:szCs w:val="32"/>
          <w:lang w:val="en-US" w:eastAsia="zh-CN"/>
        </w:rPr>
        <w:t>第</w:t>
      </w:r>
      <w:r>
        <w:rPr>
          <w:rFonts w:hint="eastAsia" w:ascii="仿宋" w:hAnsi="仿宋" w:eastAsia="仿宋" w:cs="仿宋"/>
          <w:sz w:val="32"/>
          <w:szCs w:val="32"/>
        </w:rPr>
        <w:t>一期支付利息102.06万元，</w:t>
      </w:r>
      <w:bookmarkEnd w:id="68"/>
      <w:bookmarkEnd w:id="69"/>
      <w:r>
        <w:rPr>
          <w:rFonts w:hint="eastAsia" w:ascii="仿宋" w:hAnsi="仿宋" w:eastAsia="仿宋" w:cs="仿宋"/>
          <w:sz w:val="32"/>
          <w:szCs w:val="32"/>
        </w:rPr>
        <w:t>但未见能证明二三期利息及时支付的作证资料，扣</w:t>
      </w:r>
      <w:r>
        <w:rPr>
          <w:rFonts w:hint="eastAsia" w:ascii="仿宋" w:hAnsi="仿宋" w:eastAsia="仿宋" w:cs="仿宋"/>
          <w:sz w:val="32"/>
          <w:szCs w:val="32"/>
          <w:lang w:val="en-US" w:eastAsia="zh-CN"/>
        </w:rPr>
        <w:t>1.3</w:t>
      </w:r>
      <w:r>
        <w:rPr>
          <w:rFonts w:hint="eastAsia" w:ascii="仿宋" w:hAnsi="仿宋" w:eastAsia="仿宋" w:cs="仿宋"/>
          <w:sz w:val="32"/>
          <w:szCs w:val="32"/>
        </w:rPr>
        <w:t>分。</w:t>
      </w:r>
    </w:p>
    <w:p>
      <w:pPr>
        <w:spacing w:line="560" w:lineRule="exact"/>
        <w:ind w:firstLine="643" w:firstLineChars="200"/>
        <w:outlineLvl w:val="2"/>
        <w:rPr>
          <w:rFonts w:ascii="仿宋" w:hAnsi="仿宋" w:eastAsia="仿宋" w:cs="仿宋"/>
          <w:color w:val="0000FF"/>
          <w:sz w:val="32"/>
          <w:szCs w:val="32"/>
        </w:rPr>
      </w:pPr>
      <w:bookmarkStart w:id="70" w:name="_Toc15861"/>
      <w:bookmarkStart w:id="71" w:name="_Toc25948"/>
      <w:bookmarkStart w:id="72" w:name="_Toc13042"/>
      <w:r>
        <w:rPr>
          <w:rFonts w:hint="eastAsia" w:ascii="仿宋" w:hAnsi="仿宋" w:eastAsia="仿宋" w:cs="仿宋"/>
          <w:b/>
          <w:bCs/>
          <w:sz w:val="32"/>
          <w:szCs w:val="32"/>
        </w:rPr>
        <w:t>2.项目实施10分，实得6分：</w:t>
      </w:r>
      <w:bookmarkEnd w:id="70"/>
      <w:bookmarkEnd w:id="71"/>
      <w:bookmarkEnd w:id="72"/>
    </w:p>
    <w:p>
      <w:pPr>
        <w:spacing w:line="560" w:lineRule="exact"/>
        <w:ind w:firstLine="640" w:firstLineChars="200"/>
        <w:rPr>
          <w:rFonts w:ascii="仿宋" w:hAnsi="仿宋" w:eastAsia="仿宋" w:cs="仿宋"/>
          <w:color w:val="0000FF"/>
          <w:sz w:val="32"/>
          <w:szCs w:val="32"/>
        </w:rPr>
      </w:pPr>
      <w:bookmarkStart w:id="73" w:name="_Toc26713"/>
      <w:bookmarkStart w:id="74" w:name="_Toc23761"/>
      <w:r>
        <w:rPr>
          <w:rFonts w:hint="eastAsia" w:ascii="仿宋" w:hAnsi="仿宋" w:eastAsia="仿宋" w:cs="仿宋"/>
          <w:sz w:val="32"/>
          <w:szCs w:val="32"/>
        </w:rPr>
        <w:t>（1）管理制度健全性（2分）：实施单位专门建立项目建设、运营、资产管理等环节的管理制度，出台了债务风险应急处置预案，项目建设财务管理制度、内控制度等相关制度，</w:t>
      </w:r>
      <w:bookmarkEnd w:id="73"/>
      <w:bookmarkEnd w:id="74"/>
      <w:bookmarkStart w:id="75" w:name="_Toc31011"/>
      <w:bookmarkStart w:id="76" w:name="_Toc21580"/>
      <w:r>
        <w:rPr>
          <w:rFonts w:hint="eastAsia" w:ascii="仿宋" w:hAnsi="仿宋" w:eastAsia="仿宋" w:cs="仿宋"/>
          <w:sz w:val="32"/>
          <w:szCs w:val="32"/>
          <w:lang w:val="en-US" w:eastAsia="zh-CN"/>
        </w:rPr>
        <w:t>但项目</w:t>
      </w:r>
      <w:r>
        <w:rPr>
          <w:rFonts w:hint="eastAsia" w:ascii="仿宋" w:hAnsi="仿宋" w:eastAsia="仿宋" w:cs="仿宋"/>
          <w:sz w:val="32"/>
          <w:szCs w:val="32"/>
        </w:rPr>
        <w:t>完工</w:t>
      </w:r>
      <w:r>
        <w:rPr>
          <w:rFonts w:hint="eastAsia" w:ascii="仿宋" w:hAnsi="仿宋" w:eastAsia="仿宋" w:cs="仿宋"/>
          <w:sz w:val="32"/>
          <w:szCs w:val="32"/>
          <w:lang w:val="en-US" w:eastAsia="zh-CN"/>
        </w:rPr>
        <w:t>后</w:t>
      </w:r>
      <w:r>
        <w:rPr>
          <w:rFonts w:hint="eastAsia" w:ascii="仿宋" w:hAnsi="仿宋" w:eastAsia="仿宋" w:cs="仿宋"/>
          <w:sz w:val="32"/>
          <w:szCs w:val="32"/>
        </w:rPr>
        <w:t>未</w:t>
      </w:r>
      <w:r>
        <w:rPr>
          <w:rFonts w:hint="eastAsia" w:ascii="仿宋" w:hAnsi="仿宋" w:eastAsia="仿宋" w:cs="仿宋"/>
          <w:sz w:val="32"/>
          <w:szCs w:val="32"/>
          <w:lang w:val="en-US" w:eastAsia="zh-CN"/>
        </w:rPr>
        <w:t>及时办理</w:t>
      </w:r>
      <w:r>
        <w:rPr>
          <w:rFonts w:hint="eastAsia" w:ascii="仿宋" w:hAnsi="仿宋" w:eastAsia="仿宋" w:cs="仿宋"/>
          <w:sz w:val="32"/>
          <w:szCs w:val="32"/>
        </w:rPr>
        <w:t>竣工决算</w:t>
      </w:r>
      <w:r>
        <w:rPr>
          <w:rFonts w:hint="eastAsia" w:ascii="仿宋" w:hAnsi="仿宋" w:eastAsia="仿宋" w:cs="仿宋"/>
          <w:sz w:val="32"/>
          <w:szCs w:val="32"/>
          <w:lang w:eastAsia="zh-CN"/>
        </w:rPr>
        <w:t>，</w:t>
      </w:r>
      <w:r>
        <w:rPr>
          <w:rFonts w:hint="eastAsia" w:ascii="仿宋" w:hAnsi="仿宋" w:eastAsia="仿宋" w:cs="仿宋"/>
          <w:sz w:val="32"/>
          <w:szCs w:val="32"/>
        </w:rPr>
        <w:t>扣</w:t>
      </w:r>
      <w:r>
        <w:rPr>
          <w:rFonts w:hint="eastAsia" w:ascii="仿宋" w:hAnsi="仿宋" w:eastAsia="仿宋" w:cs="仿宋"/>
          <w:sz w:val="32"/>
          <w:szCs w:val="32"/>
          <w:lang w:val="en-US" w:eastAsia="zh-CN"/>
        </w:rPr>
        <w:t>0.5</w:t>
      </w:r>
      <w:r>
        <w:rPr>
          <w:rFonts w:hint="eastAsia" w:ascii="仿宋" w:hAnsi="仿宋" w:eastAsia="仿宋" w:cs="仿宋"/>
          <w:sz w:val="32"/>
          <w:szCs w:val="32"/>
        </w:rPr>
        <w:t>分。</w:t>
      </w:r>
    </w:p>
    <w:p>
      <w:pPr>
        <w:spacing w:line="560" w:lineRule="exact"/>
        <w:ind w:firstLine="640" w:firstLineChars="200"/>
        <w:rPr>
          <w:rFonts w:ascii="仿宋" w:hAnsi="仿宋" w:eastAsia="仿宋" w:cs="仿宋"/>
          <w:color w:val="0000FF"/>
          <w:sz w:val="32"/>
          <w:szCs w:val="32"/>
        </w:rPr>
      </w:pPr>
      <w:r>
        <w:rPr>
          <w:rFonts w:hint="eastAsia" w:ascii="仿宋" w:hAnsi="仿宋" w:eastAsia="仿宋" w:cs="仿宋"/>
          <w:sz w:val="32"/>
          <w:szCs w:val="32"/>
        </w:rPr>
        <w:t>（2）项目质量控制（3分）：项目按照国家相关标准严格把控项目质量；采取了相应的项目质量检查、验收；项目调整审批手续完备，经现场勘察，已有多处门窗破损，扣0.5分。</w:t>
      </w:r>
      <w:bookmarkEnd w:id="75"/>
      <w:bookmarkEnd w:id="76"/>
    </w:p>
    <w:p>
      <w:pPr>
        <w:spacing w:line="560" w:lineRule="exact"/>
        <w:ind w:firstLine="640" w:firstLineChars="200"/>
        <w:rPr>
          <w:rFonts w:ascii="仿宋" w:hAnsi="仿宋" w:eastAsia="仿宋" w:cs="仿宋"/>
          <w:sz w:val="32"/>
          <w:szCs w:val="32"/>
        </w:rPr>
      </w:pPr>
      <w:bookmarkStart w:id="77" w:name="_Toc22999"/>
      <w:bookmarkStart w:id="78" w:name="_Toc1542"/>
      <w:r>
        <w:rPr>
          <w:rFonts w:hint="eastAsia" w:ascii="仿宋" w:hAnsi="仿宋" w:eastAsia="仿宋" w:cs="仿宋"/>
          <w:sz w:val="32"/>
          <w:szCs w:val="32"/>
        </w:rPr>
        <w:t>（3）招标及政府采购管理（3分）：部分工程采购未按协议约定进行；合同签订不规范；工程存在重复施工或建设后得不到使用，浪费资金的情况，扣3分。</w:t>
      </w:r>
      <w:bookmarkEnd w:id="77"/>
      <w:bookmarkEnd w:id="78"/>
    </w:p>
    <w:p>
      <w:pPr>
        <w:spacing w:line="560" w:lineRule="exact"/>
        <w:ind w:firstLine="640" w:firstLineChars="200"/>
        <w:rPr>
          <w:rFonts w:ascii="仿宋" w:hAnsi="仿宋" w:eastAsia="仿宋" w:cs="仿宋"/>
          <w:sz w:val="32"/>
          <w:szCs w:val="32"/>
        </w:rPr>
      </w:pPr>
      <w:bookmarkStart w:id="79" w:name="_Toc519"/>
      <w:bookmarkStart w:id="80" w:name="_Toc30127"/>
      <w:r>
        <w:rPr>
          <w:rFonts w:hint="eastAsia" w:ascii="仿宋" w:hAnsi="仿宋" w:eastAsia="仿宋" w:cs="仿宋"/>
          <w:sz w:val="32"/>
          <w:szCs w:val="32"/>
        </w:rPr>
        <w:t>（4）资产管理（2分）：2021年11月10日取得邵阳市自然资源和规划局颁发的不动产权证书，用地面积22003.68平方米，无扣分。</w:t>
      </w:r>
      <w:bookmarkEnd w:id="79"/>
      <w:bookmarkEnd w:id="80"/>
    </w:p>
    <w:p>
      <w:pPr>
        <w:spacing w:line="560" w:lineRule="exact"/>
        <w:ind w:firstLine="643" w:firstLineChars="200"/>
        <w:outlineLvl w:val="2"/>
        <w:rPr>
          <w:rFonts w:ascii="仿宋" w:hAnsi="仿宋" w:eastAsia="仿宋" w:cs="仿宋"/>
          <w:b/>
          <w:bCs/>
          <w:sz w:val="32"/>
          <w:szCs w:val="32"/>
        </w:rPr>
      </w:pPr>
      <w:bookmarkStart w:id="81" w:name="_Toc17083"/>
      <w:bookmarkStart w:id="82" w:name="_Toc3427"/>
      <w:bookmarkStart w:id="83" w:name="_Toc32389"/>
      <w:r>
        <w:rPr>
          <w:rFonts w:hint="eastAsia" w:ascii="仿宋" w:hAnsi="仿宋" w:eastAsia="仿宋" w:cs="仿宋"/>
          <w:b/>
          <w:bCs/>
          <w:sz w:val="32"/>
          <w:szCs w:val="32"/>
        </w:rPr>
        <w:t>3.风险控制7分，实得7分：</w:t>
      </w:r>
      <w:bookmarkEnd w:id="81"/>
      <w:bookmarkEnd w:id="82"/>
      <w:bookmarkEnd w:id="83"/>
    </w:p>
    <w:p>
      <w:pPr>
        <w:spacing w:line="560" w:lineRule="exact"/>
        <w:ind w:firstLine="640" w:firstLineChars="200"/>
        <w:rPr>
          <w:rFonts w:ascii="仿宋" w:hAnsi="仿宋" w:eastAsia="仿宋" w:cs="仿宋"/>
          <w:sz w:val="32"/>
          <w:szCs w:val="32"/>
        </w:rPr>
      </w:pPr>
      <w:bookmarkStart w:id="84" w:name="_Toc5216"/>
      <w:bookmarkStart w:id="85" w:name="_Toc10892"/>
      <w:r>
        <w:rPr>
          <w:rFonts w:hint="eastAsia" w:ascii="仿宋" w:hAnsi="仿宋" w:eastAsia="仿宋" w:cs="仿宋"/>
          <w:sz w:val="32"/>
          <w:szCs w:val="32"/>
        </w:rPr>
        <w:t>（1）信息公开（2分）：对债券资金发行、存续、重大事项、调整用途等进行了信息披露，无扣分。</w:t>
      </w:r>
      <w:bookmarkEnd w:id="84"/>
      <w:bookmarkEnd w:id="85"/>
    </w:p>
    <w:p>
      <w:pPr>
        <w:spacing w:line="560" w:lineRule="exact"/>
        <w:ind w:firstLine="640" w:firstLineChars="200"/>
        <w:rPr>
          <w:rFonts w:ascii="仿宋" w:hAnsi="仿宋" w:eastAsia="仿宋" w:cs="仿宋"/>
          <w:sz w:val="32"/>
          <w:szCs w:val="32"/>
        </w:rPr>
      </w:pPr>
      <w:bookmarkStart w:id="86" w:name="_Toc13361"/>
      <w:bookmarkStart w:id="87" w:name="_Toc20140"/>
      <w:r>
        <w:rPr>
          <w:rFonts w:hint="eastAsia" w:ascii="仿宋" w:hAnsi="仿宋" w:eastAsia="仿宋" w:cs="仿宋"/>
          <w:sz w:val="32"/>
          <w:szCs w:val="32"/>
        </w:rPr>
        <w:t>（2）风控效果（2分）：截至目前，项目建设期间未发生过重大风险事件（重大债务违约事件、重大安全事故、重大违法违规事件等）、因债务引起的重大事件等情况，无扣分。</w:t>
      </w:r>
      <w:bookmarkEnd w:id="86"/>
      <w:bookmarkEnd w:id="87"/>
    </w:p>
    <w:p>
      <w:pPr>
        <w:spacing w:line="560" w:lineRule="exact"/>
        <w:ind w:firstLine="640" w:firstLineChars="200"/>
        <w:rPr>
          <w:rFonts w:ascii="仿宋" w:hAnsi="仿宋" w:eastAsia="仿宋" w:cs="仿宋"/>
          <w:sz w:val="32"/>
          <w:szCs w:val="32"/>
        </w:rPr>
      </w:pPr>
      <w:bookmarkStart w:id="88" w:name="_Toc2602"/>
      <w:bookmarkStart w:id="89" w:name="_Toc4790"/>
      <w:r>
        <w:rPr>
          <w:rFonts w:hint="eastAsia" w:ascii="仿宋" w:hAnsi="仿宋" w:eastAsia="仿宋" w:cs="仿宋"/>
          <w:sz w:val="32"/>
          <w:szCs w:val="32"/>
        </w:rPr>
        <w:t>（3）问题整改（1分）：截至目前，未发生相关重大问题，无扣分。</w:t>
      </w:r>
      <w:bookmarkEnd w:id="88"/>
      <w:bookmarkEnd w:id="89"/>
    </w:p>
    <w:p>
      <w:pPr>
        <w:spacing w:line="560" w:lineRule="exact"/>
        <w:ind w:firstLine="640" w:firstLineChars="200"/>
        <w:rPr>
          <w:rFonts w:ascii="仿宋" w:hAnsi="仿宋" w:eastAsia="仿宋" w:cs="仿宋"/>
          <w:sz w:val="32"/>
          <w:szCs w:val="32"/>
        </w:rPr>
      </w:pPr>
      <w:bookmarkStart w:id="90" w:name="_Toc19700"/>
      <w:bookmarkStart w:id="91" w:name="_Toc3002"/>
      <w:r>
        <w:rPr>
          <w:rFonts w:hint="eastAsia" w:ascii="仿宋" w:hAnsi="仿宋" w:eastAsia="仿宋" w:cs="仿宋"/>
          <w:sz w:val="32"/>
          <w:szCs w:val="32"/>
        </w:rPr>
        <w:t>（4）风控机制（2分）：建立了债务风险动态监测机制；建立了债务风险应对预案和社会稳定风险应对预案，</w:t>
      </w:r>
      <w:bookmarkEnd w:id="90"/>
      <w:bookmarkEnd w:id="91"/>
      <w:r>
        <w:rPr>
          <w:rFonts w:hint="eastAsia" w:ascii="仿宋" w:hAnsi="仿宋" w:eastAsia="仿宋" w:cs="仿宋"/>
          <w:sz w:val="32"/>
          <w:szCs w:val="32"/>
        </w:rPr>
        <w:t>无扣分。</w:t>
      </w:r>
    </w:p>
    <w:p>
      <w:pPr>
        <w:spacing w:line="560" w:lineRule="exact"/>
        <w:ind w:firstLine="643" w:firstLineChars="200"/>
        <w:outlineLvl w:val="1"/>
        <w:rPr>
          <w:rFonts w:ascii="楷体" w:hAnsi="楷体" w:eastAsia="楷体" w:cs="楷体"/>
          <w:b/>
          <w:color w:val="000000"/>
          <w:sz w:val="32"/>
          <w:szCs w:val="32"/>
        </w:rPr>
      </w:pPr>
      <w:bookmarkStart w:id="92" w:name="_Toc14194"/>
      <w:bookmarkStart w:id="93" w:name="_Toc20540"/>
      <w:r>
        <w:rPr>
          <w:rFonts w:hint="eastAsia" w:ascii="楷体" w:hAnsi="楷体" w:eastAsia="楷体" w:cs="楷体"/>
          <w:b/>
          <w:color w:val="000000"/>
          <w:sz w:val="32"/>
          <w:szCs w:val="32"/>
        </w:rPr>
        <w:t>（三）项目产出情况。该项分值35分，计</w:t>
      </w:r>
      <w:r>
        <w:rPr>
          <w:rFonts w:hint="eastAsia" w:ascii="楷体" w:hAnsi="楷体" w:eastAsia="楷体" w:cs="楷体"/>
          <w:b/>
          <w:color w:val="000000"/>
          <w:sz w:val="32"/>
          <w:szCs w:val="32"/>
          <w:lang w:val="en-US" w:eastAsia="zh-CN"/>
        </w:rPr>
        <w:t>28</w:t>
      </w:r>
      <w:r>
        <w:rPr>
          <w:rFonts w:hint="eastAsia" w:ascii="楷体" w:hAnsi="楷体" w:eastAsia="楷体" w:cs="楷体"/>
          <w:b/>
          <w:color w:val="000000"/>
          <w:sz w:val="32"/>
          <w:szCs w:val="32"/>
        </w:rPr>
        <w:t>分</w:t>
      </w:r>
      <w:bookmarkEnd w:id="92"/>
      <w:bookmarkEnd w:id="93"/>
    </w:p>
    <w:p>
      <w:pPr>
        <w:spacing w:line="560" w:lineRule="exact"/>
        <w:ind w:firstLine="643" w:firstLineChars="200"/>
        <w:outlineLvl w:val="9"/>
        <w:rPr>
          <w:rFonts w:ascii="仿宋" w:hAnsi="仿宋" w:eastAsia="仿宋" w:cs="仿宋"/>
          <w:b/>
          <w:bCs/>
          <w:sz w:val="32"/>
          <w:szCs w:val="32"/>
        </w:rPr>
      </w:pPr>
      <w:bookmarkStart w:id="94" w:name="_Toc32109"/>
      <w:bookmarkStart w:id="95" w:name="_Toc26331"/>
      <w:r>
        <w:rPr>
          <w:rFonts w:hint="eastAsia" w:ascii="仿宋" w:hAnsi="仿宋" w:eastAsia="仿宋" w:cs="仿宋"/>
          <w:b/>
          <w:bCs/>
          <w:sz w:val="32"/>
          <w:szCs w:val="32"/>
        </w:rPr>
        <w:t>1.项目产出35分，实得</w:t>
      </w:r>
      <w:r>
        <w:rPr>
          <w:rFonts w:hint="eastAsia" w:ascii="仿宋" w:hAnsi="仿宋" w:eastAsia="仿宋" w:cs="仿宋"/>
          <w:b/>
          <w:bCs/>
          <w:sz w:val="32"/>
          <w:szCs w:val="32"/>
          <w:lang w:val="en-US" w:eastAsia="zh-CN"/>
        </w:rPr>
        <w:t>28</w:t>
      </w:r>
      <w:r>
        <w:rPr>
          <w:rFonts w:hint="eastAsia" w:ascii="仿宋" w:hAnsi="仿宋" w:eastAsia="仿宋" w:cs="仿宋"/>
          <w:b/>
          <w:bCs/>
          <w:sz w:val="32"/>
          <w:szCs w:val="32"/>
        </w:rPr>
        <w:t>分：</w:t>
      </w:r>
      <w:bookmarkEnd w:id="94"/>
      <w:bookmarkEnd w:id="95"/>
    </w:p>
    <w:p>
      <w:pPr>
        <w:spacing w:line="560" w:lineRule="exact"/>
        <w:ind w:firstLine="640" w:firstLineChars="200"/>
        <w:outlineLvl w:val="2"/>
        <w:rPr>
          <w:rFonts w:ascii="仿宋" w:hAnsi="仿宋" w:eastAsia="仿宋" w:cs="仿宋"/>
          <w:color w:val="0000FF"/>
          <w:sz w:val="32"/>
          <w:szCs w:val="32"/>
        </w:rPr>
      </w:pPr>
      <w:bookmarkStart w:id="96" w:name="_Toc26565"/>
      <w:bookmarkStart w:id="97" w:name="_Toc32017"/>
      <w:bookmarkStart w:id="98" w:name="_Toc19315"/>
      <w:r>
        <w:rPr>
          <w:rFonts w:hint="eastAsia" w:ascii="仿宋" w:hAnsi="仿宋" w:eastAsia="仿宋" w:cs="仿宋"/>
          <w:sz w:val="32"/>
          <w:szCs w:val="32"/>
        </w:rPr>
        <w:t>（1）产出数量（10分）：项目</w:t>
      </w:r>
      <w:bookmarkEnd w:id="96"/>
      <w:bookmarkEnd w:id="97"/>
      <w:r>
        <w:rPr>
          <w:rFonts w:hint="eastAsia" w:ascii="仿宋" w:hAnsi="仿宋" w:eastAsia="仿宋" w:cs="仿宋"/>
          <w:sz w:val="32"/>
          <w:szCs w:val="32"/>
        </w:rPr>
        <w:t>已完成方案计划中建设内容：厂房、研发大楼、宿舍楼、变压器房、污水处理房及其他附属设施等主体建筑设施，还包括道路、围墙、场地铺装、停车位、给排水、强弱电、绿化、亮化等基础设施的建设，无扣分。</w:t>
      </w:r>
      <w:bookmarkEnd w:id="98"/>
    </w:p>
    <w:p>
      <w:pPr>
        <w:spacing w:line="560" w:lineRule="exact"/>
        <w:ind w:firstLine="640" w:firstLineChars="200"/>
        <w:outlineLvl w:val="2"/>
        <w:rPr>
          <w:rFonts w:ascii="仿宋" w:hAnsi="仿宋" w:eastAsia="仿宋" w:cs="仿宋"/>
          <w:sz w:val="32"/>
          <w:szCs w:val="32"/>
        </w:rPr>
      </w:pPr>
      <w:bookmarkStart w:id="99" w:name="_Toc27857"/>
      <w:bookmarkStart w:id="100" w:name="_Toc28904"/>
      <w:bookmarkStart w:id="101" w:name="_Toc14801"/>
      <w:r>
        <w:rPr>
          <w:rFonts w:hint="eastAsia" w:ascii="仿宋" w:hAnsi="仿宋" w:eastAsia="仿宋" w:cs="仿宋"/>
          <w:sz w:val="32"/>
          <w:szCs w:val="32"/>
        </w:rPr>
        <w:t>（2）产出质量（10分）：项目单位基本按照批复的建设规模和建设内容、既定的质量标准开展工作，均通过竣工验收，质量达标后已投入使用，暂未发现存在重大质量不达标的项目或建设事项，无扣分。</w:t>
      </w:r>
      <w:bookmarkEnd w:id="99"/>
      <w:bookmarkEnd w:id="100"/>
      <w:bookmarkEnd w:id="101"/>
    </w:p>
    <w:p>
      <w:pPr>
        <w:spacing w:line="560" w:lineRule="exact"/>
        <w:ind w:firstLine="640" w:firstLineChars="200"/>
        <w:outlineLvl w:val="2"/>
        <w:rPr>
          <w:rFonts w:ascii="仿宋" w:hAnsi="仿宋" w:eastAsia="仿宋" w:cs="仿宋"/>
          <w:color w:val="0000FF"/>
          <w:sz w:val="32"/>
          <w:szCs w:val="32"/>
        </w:rPr>
      </w:pPr>
      <w:bookmarkStart w:id="102" w:name="_Toc21527"/>
      <w:bookmarkStart w:id="103" w:name="_Toc26275"/>
      <w:bookmarkStart w:id="104" w:name="_Toc17065"/>
      <w:r>
        <w:rPr>
          <w:rFonts w:hint="eastAsia" w:ascii="仿宋" w:hAnsi="仿宋" w:eastAsia="仿宋" w:cs="仿宋"/>
          <w:sz w:val="32"/>
          <w:szCs w:val="32"/>
        </w:rPr>
        <w:t>（3）产出时效（10分）：项目按邵阳市本级2021年园区建设专项债券邵阳经济开发区光学光电制造生产基地建设项目预期收益与融资平衡方案计划建设期限为2020年8月至2021年12月，未按计划时间完成建设，实际完成时间为2022年6月</w:t>
      </w:r>
      <w:r>
        <w:rPr>
          <w:rFonts w:hint="eastAsia" w:ascii="仿宋" w:hAnsi="仿宋" w:eastAsia="仿宋" w:cs="仿宋"/>
          <w:sz w:val="32"/>
          <w:szCs w:val="32"/>
          <w:lang w:eastAsia="zh-CN"/>
        </w:rPr>
        <w:t>，</w:t>
      </w:r>
      <w:r>
        <w:rPr>
          <w:rFonts w:hint="eastAsia" w:ascii="仿宋" w:hAnsi="仿宋" w:eastAsia="仿宋" w:cs="仿宋"/>
          <w:sz w:val="32"/>
          <w:szCs w:val="32"/>
        </w:rPr>
        <w:t>扣</w:t>
      </w:r>
      <w:r>
        <w:rPr>
          <w:rFonts w:hint="eastAsia" w:ascii="仿宋" w:hAnsi="仿宋" w:eastAsia="仿宋" w:cs="仿宋"/>
          <w:sz w:val="32"/>
          <w:szCs w:val="32"/>
          <w:lang w:val="en-US" w:eastAsia="zh-CN"/>
        </w:rPr>
        <w:t>7</w:t>
      </w:r>
      <w:r>
        <w:rPr>
          <w:rFonts w:hint="eastAsia" w:ascii="仿宋" w:hAnsi="仿宋" w:eastAsia="仿宋" w:cs="仿宋"/>
          <w:sz w:val="32"/>
          <w:szCs w:val="32"/>
        </w:rPr>
        <w:t>分。</w:t>
      </w:r>
      <w:bookmarkEnd w:id="102"/>
      <w:bookmarkEnd w:id="103"/>
      <w:bookmarkEnd w:id="104"/>
    </w:p>
    <w:p>
      <w:pPr>
        <w:spacing w:line="560" w:lineRule="exact"/>
        <w:ind w:firstLine="640" w:firstLineChars="200"/>
        <w:outlineLvl w:val="2"/>
        <w:rPr>
          <w:rFonts w:ascii="仿宋" w:hAnsi="仿宋" w:eastAsia="仿宋" w:cs="仿宋"/>
          <w:color w:val="0000FF"/>
          <w:sz w:val="32"/>
          <w:szCs w:val="32"/>
        </w:rPr>
      </w:pPr>
      <w:bookmarkStart w:id="105" w:name="_Toc12475"/>
      <w:bookmarkStart w:id="106" w:name="_Toc7868"/>
      <w:bookmarkStart w:id="107" w:name="_Toc26537"/>
      <w:r>
        <w:rPr>
          <w:rFonts w:hint="eastAsia" w:ascii="仿宋" w:hAnsi="仿宋" w:eastAsia="仿宋" w:cs="仿宋"/>
          <w:sz w:val="32"/>
          <w:szCs w:val="32"/>
        </w:rPr>
        <w:t>（4）产出成本（5分）：因项目尚未办理竣工结算，经询问项目单位得知，项目总成本将控制在项目预算以内，故根据谨慎性原则，参照"项目实际建设成本等于项目预算投资额"的等级予以评分，无扣分。</w:t>
      </w:r>
      <w:bookmarkEnd w:id="105"/>
      <w:bookmarkEnd w:id="106"/>
      <w:bookmarkEnd w:id="107"/>
    </w:p>
    <w:p>
      <w:pPr>
        <w:spacing w:line="560" w:lineRule="exact"/>
        <w:ind w:firstLine="643" w:firstLineChars="200"/>
        <w:outlineLvl w:val="1"/>
        <w:rPr>
          <w:rFonts w:ascii="楷体" w:hAnsi="楷体" w:eastAsia="楷体" w:cs="楷体"/>
          <w:b/>
          <w:color w:val="000000"/>
          <w:sz w:val="32"/>
          <w:szCs w:val="32"/>
        </w:rPr>
      </w:pPr>
      <w:bookmarkStart w:id="108" w:name="_Toc1138"/>
      <w:bookmarkStart w:id="109" w:name="_Toc32631"/>
      <w:r>
        <w:rPr>
          <w:rFonts w:hint="eastAsia" w:ascii="楷体" w:hAnsi="楷体" w:eastAsia="楷体" w:cs="楷体"/>
          <w:b/>
          <w:color w:val="000000"/>
          <w:sz w:val="32"/>
          <w:szCs w:val="32"/>
        </w:rPr>
        <w:t>（四）项目效益情况。该项分值25分，计2</w:t>
      </w:r>
      <w:r>
        <w:rPr>
          <w:rFonts w:hint="eastAsia" w:ascii="楷体" w:hAnsi="楷体" w:eastAsia="楷体" w:cs="楷体"/>
          <w:b/>
          <w:color w:val="000000"/>
          <w:sz w:val="32"/>
          <w:szCs w:val="32"/>
          <w:lang w:val="en-US" w:eastAsia="zh-CN"/>
        </w:rPr>
        <w:t>3.5</w:t>
      </w:r>
      <w:r>
        <w:rPr>
          <w:rFonts w:hint="eastAsia" w:ascii="楷体" w:hAnsi="楷体" w:eastAsia="楷体" w:cs="楷体"/>
          <w:b/>
          <w:color w:val="000000"/>
          <w:sz w:val="32"/>
          <w:szCs w:val="32"/>
        </w:rPr>
        <w:t>分</w:t>
      </w:r>
      <w:bookmarkEnd w:id="108"/>
      <w:bookmarkEnd w:id="109"/>
    </w:p>
    <w:p>
      <w:pPr>
        <w:spacing w:line="560" w:lineRule="exact"/>
        <w:ind w:firstLine="643" w:firstLineChars="200"/>
        <w:outlineLvl w:val="9"/>
        <w:rPr>
          <w:rFonts w:ascii="仿宋" w:hAnsi="仿宋" w:eastAsia="仿宋" w:cs="仿宋"/>
          <w:b/>
          <w:bCs/>
          <w:sz w:val="32"/>
          <w:szCs w:val="32"/>
        </w:rPr>
      </w:pPr>
      <w:r>
        <w:rPr>
          <w:rFonts w:hint="eastAsia" w:ascii="仿宋" w:hAnsi="仿宋" w:eastAsia="仿宋" w:cs="仿宋"/>
          <w:b/>
          <w:bCs/>
          <w:sz w:val="32"/>
          <w:szCs w:val="32"/>
        </w:rPr>
        <w:t xml:space="preserve"> </w:t>
      </w:r>
      <w:bookmarkStart w:id="110" w:name="_Toc16230"/>
      <w:bookmarkStart w:id="111" w:name="_Toc27967"/>
      <w:r>
        <w:rPr>
          <w:rFonts w:hint="eastAsia" w:ascii="仿宋" w:hAnsi="仿宋" w:eastAsia="仿宋" w:cs="仿宋"/>
          <w:b/>
          <w:bCs/>
          <w:sz w:val="32"/>
          <w:szCs w:val="32"/>
        </w:rPr>
        <w:t>1.项目效益25分，实得2</w:t>
      </w:r>
      <w:r>
        <w:rPr>
          <w:rFonts w:hint="eastAsia" w:ascii="仿宋" w:hAnsi="仿宋" w:eastAsia="仿宋" w:cs="仿宋"/>
          <w:b/>
          <w:bCs/>
          <w:sz w:val="32"/>
          <w:szCs w:val="32"/>
          <w:lang w:val="en-US" w:eastAsia="zh-CN"/>
        </w:rPr>
        <w:t>3.5</w:t>
      </w:r>
      <w:r>
        <w:rPr>
          <w:rFonts w:hint="eastAsia" w:ascii="仿宋" w:hAnsi="仿宋" w:eastAsia="仿宋" w:cs="仿宋"/>
          <w:b/>
          <w:bCs/>
          <w:sz w:val="32"/>
          <w:szCs w:val="32"/>
        </w:rPr>
        <w:t>分：</w:t>
      </w:r>
      <w:bookmarkEnd w:id="110"/>
      <w:bookmarkEnd w:id="111"/>
    </w:p>
    <w:p>
      <w:pPr>
        <w:spacing w:line="560" w:lineRule="exact"/>
        <w:ind w:firstLine="640" w:firstLineChars="200"/>
        <w:outlineLvl w:val="2"/>
        <w:rPr>
          <w:rFonts w:ascii="仿宋" w:hAnsi="仿宋" w:eastAsia="仿宋" w:cs="仿宋"/>
          <w:sz w:val="32"/>
          <w:szCs w:val="32"/>
        </w:rPr>
      </w:pPr>
      <w:bookmarkStart w:id="112" w:name="_Toc28598"/>
      <w:bookmarkStart w:id="113" w:name="_Toc16279"/>
      <w:bookmarkStart w:id="114" w:name="_Toc22843"/>
      <w:r>
        <w:rPr>
          <w:rFonts w:hint="eastAsia" w:ascii="仿宋" w:hAnsi="仿宋" w:eastAsia="仿宋" w:cs="仿宋"/>
          <w:sz w:val="32"/>
          <w:szCs w:val="32"/>
        </w:rPr>
        <w:t>（1）实施效益（10分）：项目厂房、宿舍、科研大楼均已全部租赁，但因项目实际完成交付使用时间晚于计划时间，导致短期经济效益不显著，扣</w:t>
      </w:r>
      <w:r>
        <w:rPr>
          <w:rFonts w:hint="eastAsia" w:ascii="仿宋" w:hAnsi="仿宋" w:eastAsia="仿宋" w:cs="仿宋"/>
          <w:sz w:val="32"/>
          <w:szCs w:val="32"/>
          <w:lang w:val="en-US" w:eastAsia="zh-CN"/>
        </w:rPr>
        <w:t>1.5</w:t>
      </w:r>
      <w:r>
        <w:rPr>
          <w:rFonts w:hint="eastAsia" w:ascii="仿宋" w:hAnsi="仿宋" w:eastAsia="仿宋" w:cs="仿宋"/>
          <w:sz w:val="32"/>
          <w:szCs w:val="32"/>
        </w:rPr>
        <w:t>分。</w:t>
      </w:r>
      <w:bookmarkEnd w:id="112"/>
      <w:bookmarkEnd w:id="113"/>
      <w:bookmarkEnd w:id="114"/>
    </w:p>
    <w:p>
      <w:pPr>
        <w:spacing w:line="560" w:lineRule="exact"/>
        <w:ind w:firstLine="640" w:firstLineChars="200"/>
        <w:outlineLvl w:val="2"/>
        <w:rPr>
          <w:rFonts w:ascii="仿宋" w:hAnsi="仿宋" w:eastAsia="仿宋" w:cs="仿宋"/>
          <w:sz w:val="32"/>
          <w:szCs w:val="32"/>
        </w:rPr>
      </w:pPr>
      <w:bookmarkStart w:id="115" w:name="_Toc21675"/>
      <w:bookmarkStart w:id="116" w:name="_Toc15344"/>
      <w:bookmarkStart w:id="117" w:name="_Toc1424"/>
      <w:r>
        <w:rPr>
          <w:rFonts w:hint="eastAsia" w:ascii="仿宋" w:hAnsi="仿宋" w:eastAsia="仿宋" w:cs="仿宋"/>
          <w:sz w:val="32"/>
          <w:szCs w:val="32"/>
        </w:rPr>
        <w:t>（2）社会公众或服务对象满意度（10分）：本次满意度问卷调查共收集有效问卷90份，其中：服务对象33份、项目周边社会群体38份、主管单位和建设单位内部员工19份。最终，计算得出绩效评价满意度得分93.84分，等级优秀，无扣分。</w:t>
      </w:r>
      <w:bookmarkEnd w:id="115"/>
      <w:bookmarkEnd w:id="116"/>
      <w:bookmarkEnd w:id="117"/>
    </w:p>
    <w:p>
      <w:pPr>
        <w:spacing w:line="560" w:lineRule="exact"/>
        <w:ind w:firstLine="640" w:firstLineChars="200"/>
        <w:outlineLvl w:val="2"/>
        <w:rPr>
          <w:rFonts w:ascii="仿宋" w:hAnsi="仿宋" w:eastAsia="仿宋" w:cs="仿宋"/>
          <w:color w:val="0000FF"/>
          <w:sz w:val="32"/>
          <w:szCs w:val="32"/>
        </w:rPr>
      </w:pPr>
      <w:bookmarkStart w:id="118" w:name="_Toc17765"/>
      <w:bookmarkStart w:id="119" w:name="_Toc21233"/>
      <w:bookmarkStart w:id="120" w:name="_Toc17858"/>
      <w:r>
        <w:rPr>
          <w:rFonts w:hint="eastAsia" w:ascii="仿宋" w:hAnsi="仿宋" w:eastAsia="仿宋" w:cs="仿宋"/>
          <w:sz w:val="32"/>
          <w:szCs w:val="32"/>
        </w:rPr>
        <w:t>（3）可持续影响（5分）：项目引进了北创光电科技（邵阳）有限公司、邵阳广源光学科技有限公司，引入的新产业，促进了智能制造等战略新兴产业的升级，可调整当地产业结构，加速技术扩散，促进企业实施战略联盟，推动邵阳市经济增长，</w:t>
      </w:r>
      <w:bookmarkEnd w:id="118"/>
      <w:bookmarkEnd w:id="119"/>
      <w:r>
        <w:rPr>
          <w:rFonts w:hint="eastAsia" w:ascii="仿宋" w:hAnsi="仿宋" w:eastAsia="仿宋" w:cs="仿宋"/>
          <w:sz w:val="32"/>
          <w:szCs w:val="32"/>
        </w:rPr>
        <w:t>无扣分。</w:t>
      </w:r>
      <w:bookmarkEnd w:id="120"/>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21" w:name="_Toc3958"/>
      <w:r>
        <w:rPr>
          <w:rFonts w:hint="eastAsia" w:ascii="黑体" w:hAnsi="黑体" w:eastAsia="黑体" w:cs="黑体"/>
          <w:b/>
          <w:bCs/>
          <w:color w:val="000000"/>
          <w:sz w:val="32"/>
          <w:szCs w:val="32"/>
        </w:rPr>
        <w:t>五、主要经验及做法</w:t>
      </w:r>
      <w:bookmarkEnd w:id="121"/>
    </w:p>
    <w:p>
      <w:pPr>
        <w:spacing w:line="560" w:lineRule="exact"/>
        <w:ind w:firstLine="643" w:firstLineChars="200"/>
        <w:outlineLvl w:val="1"/>
        <w:rPr>
          <w:rFonts w:ascii="楷体" w:hAnsi="楷体" w:eastAsia="楷体" w:cs="楷体"/>
          <w:b/>
          <w:color w:val="000000"/>
          <w:sz w:val="32"/>
          <w:szCs w:val="32"/>
        </w:rPr>
      </w:pPr>
      <w:bookmarkStart w:id="122" w:name="_Toc4513"/>
      <w:bookmarkStart w:id="123" w:name="_Toc13658"/>
      <w:r>
        <w:rPr>
          <w:rFonts w:hint="eastAsia" w:ascii="楷体" w:hAnsi="楷体" w:eastAsia="楷体" w:cs="楷体"/>
          <w:b/>
          <w:color w:val="000000"/>
          <w:sz w:val="32"/>
          <w:szCs w:val="32"/>
        </w:rPr>
        <w:t>（一）园区引进多家企业，已形成产业规模</w:t>
      </w:r>
      <w:bookmarkEnd w:id="122"/>
      <w:bookmarkEnd w:id="12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项目为光电光学制造生产基地建设项目。该项目建成后由广东北创光电科技股份有限公司入驻。目前邵阳经开区园区共引进各类企业240余家，已形成了先进装备制造、电子信息、农产品加工三大主导产业。2016年，园区完成技工贸总收入480亿元、工业总产值278亿元、实现利润21亿元、税收20亿元，已成为湘中湘西南工业发展核心增长极和重要驱动力。产业规模显现，已成为邵阳经济发展重要增长极，同时，为增强发展后劲，园区实施创新引领，园区主动融入“中国制造2025”，与北创光电积极签订优惠协议，全面助推北创光电落户邵阳经开区，实现扩大生产、生产智能化、产品智能化。</w:t>
      </w:r>
    </w:p>
    <w:p>
      <w:pPr>
        <w:spacing w:line="560" w:lineRule="exact"/>
        <w:ind w:firstLine="643" w:firstLineChars="200"/>
        <w:outlineLvl w:val="1"/>
        <w:rPr>
          <w:rFonts w:ascii="楷体" w:hAnsi="楷体" w:eastAsia="楷体" w:cs="楷体"/>
          <w:b/>
          <w:color w:val="000000"/>
          <w:sz w:val="32"/>
          <w:szCs w:val="32"/>
        </w:rPr>
      </w:pPr>
      <w:bookmarkStart w:id="124" w:name="_Toc2743"/>
      <w:bookmarkStart w:id="125" w:name="_Toc26989"/>
      <w:r>
        <w:rPr>
          <w:rFonts w:hint="eastAsia" w:ascii="楷体" w:hAnsi="楷体" w:eastAsia="楷体" w:cs="楷体"/>
          <w:b/>
          <w:color w:val="000000"/>
          <w:sz w:val="32"/>
          <w:szCs w:val="32"/>
        </w:rPr>
        <w:t>（二）项目组织实施过程制度健全执行有效</w:t>
      </w:r>
      <w:bookmarkEnd w:id="124"/>
      <w:bookmarkEnd w:id="125"/>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制定了具体的资金财务管理办法，符合国家财经法规和财务管理制度以及有关债券资金管理的规定，对资金的拨付有完整的审批程序和手续，同时项目还建立了债务风险动态监测机制，对识别到的风险建立了应对的防范措施，及债务风险应对预案和社会稳定风险应对预案。</w:t>
      </w:r>
    </w:p>
    <w:p>
      <w:pPr>
        <w:spacing w:line="560" w:lineRule="exact"/>
        <w:ind w:firstLine="643" w:firstLineChars="200"/>
        <w:outlineLvl w:val="1"/>
        <w:rPr>
          <w:rFonts w:ascii="楷体" w:hAnsi="楷体" w:eastAsia="楷体" w:cs="楷体"/>
          <w:bCs/>
          <w:color w:val="000000"/>
          <w:sz w:val="32"/>
          <w:szCs w:val="32"/>
        </w:rPr>
      </w:pPr>
      <w:bookmarkStart w:id="126" w:name="_Toc7075"/>
      <w:bookmarkStart w:id="127" w:name="_Toc2147"/>
      <w:r>
        <w:rPr>
          <w:rFonts w:hint="eastAsia" w:ascii="楷体" w:hAnsi="楷体" w:eastAsia="楷体" w:cs="楷体"/>
          <w:b/>
          <w:color w:val="000000"/>
          <w:sz w:val="32"/>
          <w:szCs w:val="32"/>
        </w:rPr>
        <w:t>（三）打造创新引领示范园区，促进经济增长</w:t>
      </w:r>
      <w:bookmarkEnd w:id="126"/>
      <w:bookmarkEnd w:id="127"/>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将建设标准的智能生产厂房，通过筑巢引凤，引进光电制造生产线，吸引沿海地区更多的智能生产企业群体转移。通过发展壮大智能制造产业，创造更多就业机会，促进新型城镇化发展，推动产业新城建设。进而促进邵阳市经济增长。</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28" w:name="_Toc23944"/>
      <w:r>
        <w:rPr>
          <w:rFonts w:hint="eastAsia" w:ascii="黑体" w:hAnsi="黑体" w:eastAsia="黑体" w:cs="黑体"/>
          <w:b/>
          <w:bCs/>
          <w:color w:val="000000"/>
          <w:sz w:val="32"/>
          <w:szCs w:val="32"/>
        </w:rPr>
        <w:t>六、存在的问题及原因分析</w:t>
      </w:r>
      <w:bookmarkEnd w:id="128"/>
    </w:p>
    <w:p>
      <w:pPr>
        <w:spacing w:line="560" w:lineRule="exact"/>
        <w:ind w:firstLine="643" w:firstLineChars="200"/>
        <w:outlineLvl w:val="1"/>
        <w:rPr>
          <w:rFonts w:ascii="楷体" w:hAnsi="楷体" w:eastAsia="楷体" w:cs="楷体"/>
          <w:b/>
          <w:color w:val="000000"/>
          <w:sz w:val="32"/>
          <w:szCs w:val="32"/>
        </w:rPr>
      </w:pPr>
      <w:bookmarkStart w:id="129" w:name="_Toc6353"/>
      <w:r>
        <w:rPr>
          <w:rFonts w:hint="eastAsia" w:ascii="楷体" w:hAnsi="楷体" w:eastAsia="楷体" w:cs="楷体"/>
          <w:b/>
          <w:color w:val="000000"/>
          <w:sz w:val="32"/>
          <w:szCs w:val="32"/>
        </w:rPr>
        <w:t>（一）绩效管理方面</w:t>
      </w:r>
      <w:bookmarkEnd w:id="129"/>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项目单位未编制绩效目标。</w:t>
      </w:r>
      <w:r>
        <w:rPr>
          <w:rFonts w:hint="eastAsia" w:ascii="仿宋" w:hAnsi="仿宋" w:eastAsia="仿宋" w:cs="仿宋"/>
          <w:sz w:val="32"/>
          <w:szCs w:val="32"/>
        </w:rPr>
        <w:t>宝城投对本项目未设立绩效目标，未预期提供公共产品和服务的数量、质量、时效和成本等，未预期经济效益、社会效益、生态效益、可持续影响、社会公众或服务对象满意度等，未衡量预期产出、预期效益的绩效指标等。</w:t>
      </w:r>
    </w:p>
    <w:p>
      <w:pPr>
        <w:spacing w:line="560" w:lineRule="exact"/>
        <w:ind w:firstLine="643" w:firstLineChars="200"/>
        <w:outlineLvl w:val="1"/>
        <w:rPr>
          <w:rFonts w:ascii="楷体" w:hAnsi="楷体" w:eastAsia="楷体" w:cs="楷体"/>
          <w:b/>
          <w:color w:val="000000"/>
          <w:sz w:val="32"/>
          <w:szCs w:val="32"/>
        </w:rPr>
      </w:pPr>
      <w:bookmarkStart w:id="130" w:name="_Toc1849"/>
      <w:r>
        <w:rPr>
          <w:rFonts w:hint="eastAsia" w:ascii="楷体" w:hAnsi="楷体" w:eastAsia="楷体" w:cs="楷体"/>
          <w:b/>
          <w:color w:val="000000"/>
          <w:sz w:val="32"/>
          <w:szCs w:val="32"/>
        </w:rPr>
        <w:t>（二）资金管理使用方面</w:t>
      </w:r>
      <w:bookmarkEnd w:id="130"/>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资金支付不及时，导致资金闲置。</w:t>
      </w:r>
      <w:r>
        <w:rPr>
          <w:rFonts w:hint="eastAsia" w:ascii="仿宋" w:hAnsi="仿宋" w:eastAsia="仿宋" w:cs="仿宋"/>
          <w:sz w:val="32"/>
          <w:szCs w:val="32"/>
        </w:rPr>
        <w:t>截止2023年6月，专项债券资金到位6000万元，已支付3693.32万元，剩余2306.68万元闲置。</w:t>
      </w:r>
    </w:p>
    <w:p>
      <w:pPr>
        <w:spacing w:line="560" w:lineRule="exact"/>
        <w:ind w:firstLine="643" w:firstLineChars="200"/>
        <w:outlineLvl w:val="1"/>
        <w:rPr>
          <w:rFonts w:ascii="楷体" w:hAnsi="楷体" w:eastAsia="楷体" w:cs="楷体"/>
          <w:b/>
          <w:color w:val="000000"/>
          <w:sz w:val="32"/>
          <w:szCs w:val="32"/>
        </w:rPr>
      </w:pPr>
      <w:bookmarkStart w:id="131" w:name="_Toc10727"/>
      <w:r>
        <w:rPr>
          <w:rFonts w:hint="eastAsia" w:ascii="楷体" w:hAnsi="楷体" w:eastAsia="楷体" w:cs="楷体"/>
          <w:b/>
          <w:color w:val="000000"/>
          <w:sz w:val="32"/>
          <w:szCs w:val="32"/>
        </w:rPr>
        <w:t>（三）项目实施方面</w:t>
      </w:r>
      <w:bookmarkEnd w:id="131"/>
    </w:p>
    <w:p>
      <w:pPr>
        <w:spacing w:line="560" w:lineRule="exact"/>
        <w:ind w:firstLine="643" w:firstLineChars="200"/>
        <w:outlineLvl w:val="2"/>
        <w:rPr>
          <w:rFonts w:ascii="仿宋" w:hAnsi="仿宋" w:eastAsia="仿宋" w:cs="仿宋"/>
          <w:sz w:val="32"/>
          <w:szCs w:val="32"/>
        </w:rPr>
      </w:pPr>
      <w:bookmarkStart w:id="132" w:name="_Toc20007"/>
      <w:bookmarkStart w:id="133" w:name="_Toc19487"/>
      <w:r>
        <w:rPr>
          <w:rFonts w:hint="eastAsia" w:ascii="仿宋" w:hAnsi="仿宋" w:eastAsia="仿宋" w:cs="仿宋"/>
          <w:b/>
          <w:bCs/>
          <w:sz w:val="32"/>
          <w:szCs w:val="32"/>
        </w:rPr>
        <w:t>1.合同签订不规范</w:t>
      </w:r>
      <w:r>
        <w:rPr>
          <w:rFonts w:hint="eastAsia" w:ascii="仿宋" w:hAnsi="仿宋" w:eastAsia="仿宋" w:cs="仿宋"/>
          <w:sz w:val="32"/>
          <w:szCs w:val="32"/>
        </w:rPr>
        <w:t>。</w:t>
      </w:r>
      <w:bookmarkEnd w:id="132"/>
      <w:bookmarkEnd w:id="13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（1）合同签订时间超过发出中标通知书约定的期限30天。工程中标通知书出具时间为2020年4月2日，工程总承包项目合同书签订时间为2020年6月18日。</w:t>
      </w:r>
    </w:p>
    <w:p>
      <w:pPr>
        <w:ind w:firstLine="640" w:firstLineChars="200"/>
        <w:rPr>
          <w:rFonts w:ascii="仿宋" w:hAnsi="仿宋" w:eastAsia="仿宋" w:cs="仿宋"/>
          <w:sz w:val="32"/>
          <w:szCs w:val="32"/>
        </w:rPr>
      </w:pPr>
      <w:r>
        <w:rPr>
          <w:rFonts w:hint="eastAsia" w:ascii="仿宋" w:hAnsi="仿宋" w:eastAsia="仿宋" w:cs="仿宋"/>
          <w:sz w:val="32"/>
          <w:szCs w:val="32"/>
        </w:rPr>
        <w:t>（2）购买服务程序倒置，提供服务时间早于购买服务时间。如</w:t>
      </w:r>
      <w:r>
        <w:rPr>
          <w:rFonts w:ascii="仿宋" w:hAnsi="仿宋" w:eastAsia="仿宋" w:cs="仿宋"/>
          <w:sz w:val="32"/>
          <w:szCs w:val="32"/>
        </w:rPr>
        <w:t>2021</w:t>
      </w:r>
      <w:r>
        <w:rPr>
          <w:rFonts w:hint="eastAsia" w:ascii="仿宋" w:hAnsi="仿宋" w:eastAsia="仿宋" w:cs="仿宋"/>
          <w:sz w:val="32"/>
          <w:szCs w:val="32"/>
        </w:rPr>
        <w:t>年1月，宝城投与湖南沪变电力技术有限公司的《北创光电临时用电工程施工合同》</w:t>
      </w:r>
      <w:r>
        <w:rPr>
          <w:rFonts w:ascii="仿宋" w:hAnsi="仿宋" w:eastAsia="仿宋" w:cs="仿宋"/>
          <w:sz w:val="32"/>
          <w:szCs w:val="32"/>
        </w:rPr>
        <w:t xml:space="preserve"> ,</w:t>
      </w:r>
      <w:r>
        <w:rPr>
          <w:rFonts w:hint="eastAsia" w:ascii="仿宋" w:hAnsi="仿宋" w:eastAsia="仿宋" w:cs="仿宋"/>
          <w:sz w:val="32"/>
          <w:szCs w:val="32"/>
        </w:rPr>
        <w:t>合同约定施工执行2</w:t>
      </w:r>
      <w:r>
        <w:rPr>
          <w:rFonts w:ascii="仿宋" w:hAnsi="仿宋" w:eastAsia="仿宋" w:cs="仿宋"/>
          <w:sz w:val="32"/>
          <w:szCs w:val="32"/>
        </w:rPr>
        <w:t>020</w:t>
      </w:r>
      <w:r>
        <w:rPr>
          <w:rFonts w:hint="eastAsia" w:ascii="仿宋" w:hAnsi="仿宋" w:eastAsia="仿宋" w:cs="仿宋"/>
          <w:sz w:val="32"/>
          <w:szCs w:val="32"/>
        </w:rPr>
        <w:t>年4月；202</w:t>
      </w:r>
      <w:r>
        <w:rPr>
          <w:rFonts w:ascii="仿宋" w:hAnsi="仿宋" w:eastAsia="仿宋" w:cs="仿宋"/>
          <w:sz w:val="32"/>
          <w:szCs w:val="32"/>
        </w:rPr>
        <w:t>0</w:t>
      </w:r>
      <w:r>
        <w:rPr>
          <w:rFonts w:hint="eastAsia" w:ascii="仿宋" w:hAnsi="仿宋" w:eastAsia="仿宋" w:cs="仿宋"/>
          <w:sz w:val="32"/>
          <w:szCs w:val="32"/>
        </w:rPr>
        <w:t>年</w:t>
      </w:r>
      <w:r>
        <w:rPr>
          <w:rFonts w:ascii="仿宋" w:hAnsi="仿宋" w:eastAsia="仿宋" w:cs="仿宋"/>
          <w:sz w:val="32"/>
          <w:szCs w:val="32"/>
        </w:rPr>
        <w:t>4</w:t>
      </w:r>
      <w:r>
        <w:rPr>
          <w:rFonts w:hint="eastAsia" w:ascii="仿宋" w:hAnsi="仿宋" w:eastAsia="仿宋" w:cs="仿宋"/>
          <w:sz w:val="32"/>
          <w:szCs w:val="32"/>
        </w:rPr>
        <w:t>月，宝城投与湖南远诚工程咨询有限公司的《建设工程造价咨询合同》，预算编制报告作业时间2</w:t>
      </w:r>
      <w:r>
        <w:rPr>
          <w:rFonts w:ascii="仿宋" w:hAnsi="仿宋" w:eastAsia="仿宋" w:cs="仿宋"/>
          <w:sz w:val="32"/>
          <w:szCs w:val="32"/>
        </w:rPr>
        <w:t>020</w:t>
      </w:r>
      <w:r>
        <w:rPr>
          <w:rFonts w:hint="eastAsia" w:ascii="仿宋" w:hAnsi="仿宋" w:eastAsia="仿宋" w:cs="仿宋"/>
          <w:sz w:val="32"/>
          <w:szCs w:val="32"/>
        </w:rPr>
        <w:t>年2月1</w:t>
      </w:r>
      <w:r>
        <w:rPr>
          <w:rFonts w:ascii="仿宋" w:hAnsi="仿宋" w:eastAsia="仿宋" w:cs="仿宋"/>
          <w:sz w:val="32"/>
          <w:szCs w:val="32"/>
        </w:rPr>
        <w:t>4</w:t>
      </w:r>
      <w:r>
        <w:rPr>
          <w:rFonts w:hint="eastAsia" w:ascii="仿宋" w:hAnsi="仿宋" w:eastAsia="仿宋" w:cs="仿宋"/>
          <w:sz w:val="32"/>
          <w:szCs w:val="32"/>
        </w:rPr>
        <w:t>日至2</w:t>
      </w:r>
      <w:r>
        <w:rPr>
          <w:rFonts w:ascii="仿宋" w:hAnsi="仿宋" w:eastAsia="仿宋" w:cs="仿宋"/>
          <w:sz w:val="32"/>
          <w:szCs w:val="32"/>
        </w:rPr>
        <w:t>020</w:t>
      </w:r>
      <w:r>
        <w:rPr>
          <w:rFonts w:hint="eastAsia" w:ascii="仿宋" w:hAnsi="仿宋" w:eastAsia="仿宋" w:cs="仿宋"/>
          <w:sz w:val="32"/>
          <w:szCs w:val="32"/>
        </w:rPr>
        <w:t>年2月2</w:t>
      </w:r>
      <w:r>
        <w:rPr>
          <w:rFonts w:ascii="仿宋" w:hAnsi="仿宋" w:eastAsia="仿宋" w:cs="仿宋"/>
          <w:sz w:val="32"/>
          <w:szCs w:val="32"/>
        </w:rPr>
        <w:t>7</w:t>
      </w:r>
      <w:r>
        <w:rPr>
          <w:rFonts w:hint="eastAsia" w:ascii="仿宋" w:hAnsi="仿宋" w:eastAsia="仿宋" w:cs="仿宋"/>
          <w:sz w:val="32"/>
          <w:szCs w:val="32"/>
        </w:rPr>
        <w:t>日。</w:t>
      </w:r>
    </w:p>
    <w:p>
      <w:pPr>
        <w:pStyle w:val="2"/>
        <w:ind w:firstLine="640" w:firstLineChars="200"/>
        <w:rPr>
          <w:rFonts w:ascii="仿宋" w:hAnsi="仿宋" w:eastAsia="仿宋" w:cs="仿宋"/>
          <w:kern w:val="2"/>
          <w:sz w:val="32"/>
          <w:szCs w:val="32"/>
        </w:rPr>
      </w:pPr>
      <w:r>
        <w:rPr>
          <w:rFonts w:hint="eastAsia" w:ascii="仿宋" w:hAnsi="仿宋" w:eastAsia="仿宋" w:cs="仿宋"/>
          <w:kern w:val="2"/>
          <w:sz w:val="32"/>
          <w:szCs w:val="32"/>
        </w:rPr>
        <w:t>（</w:t>
      </w:r>
      <w:r>
        <w:rPr>
          <w:rFonts w:ascii="仿宋" w:hAnsi="仿宋" w:eastAsia="仿宋" w:cs="仿宋"/>
          <w:kern w:val="2"/>
          <w:sz w:val="32"/>
          <w:szCs w:val="32"/>
        </w:rPr>
        <w:t>3</w:t>
      </w:r>
      <w:r>
        <w:rPr>
          <w:rFonts w:hint="eastAsia" w:ascii="仿宋" w:hAnsi="仿宋" w:eastAsia="仿宋" w:cs="仿宋"/>
          <w:kern w:val="2"/>
          <w:sz w:val="32"/>
          <w:szCs w:val="32"/>
        </w:rPr>
        <w:t>）合同要素不全。如</w:t>
      </w:r>
      <w:r>
        <w:rPr>
          <w:rFonts w:hint="eastAsia" w:ascii="仿宋" w:hAnsi="仿宋" w:eastAsia="仿宋" w:cs="仿宋"/>
          <w:sz w:val="32"/>
          <w:szCs w:val="32"/>
        </w:rPr>
        <w:t>宝城投与邵阳市第二建筑设计研究院签订的《建设工程勘察合同》，合同金额</w:t>
      </w:r>
      <w:r>
        <w:rPr>
          <w:rFonts w:ascii="仿宋" w:hAnsi="仿宋" w:eastAsia="仿宋" w:cs="仿宋"/>
          <w:sz w:val="32"/>
          <w:szCs w:val="32"/>
        </w:rPr>
        <w:t>31.3488</w:t>
      </w:r>
      <w:r>
        <w:rPr>
          <w:rFonts w:hint="eastAsia" w:ascii="仿宋" w:hAnsi="仿宋" w:eastAsia="仿宋" w:cs="仿宋"/>
          <w:sz w:val="32"/>
          <w:szCs w:val="32"/>
        </w:rPr>
        <w:t>万元 ,合同未签订时间；宝城投与邵阳市规划建筑设计(集团)有限公司的《建设工程勘察合同》，合同金额</w:t>
      </w:r>
      <w:r>
        <w:rPr>
          <w:rFonts w:ascii="仿宋" w:hAnsi="仿宋" w:eastAsia="仿宋" w:cs="仿宋"/>
          <w:sz w:val="32"/>
          <w:szCs w:val="32"/>
        </w:rPr>
        <w:t>36</w:t>
      </w:r>
      <w:r>
        <w:rPr>
          <w:rFonts w:hint="eastAsia" w:ascii="仿宋" w:hAnsi="仿宋" w:eastAsia="仿宋" w:cs="仿宋"/>
          <w:sz w:val="32"/>
          <w:szCs w:val="32"/>
        </w:rPr>
        <w:t>.</w:t>
      </w:r>
      <w:r>
        <w:rPr>
          <w:rFonts w:ascii="仿宋" w:hAnsi="仿宋" w:eastAsia="仿宋" w:cs="仿宋"/>
          <w:sz w:val="32"/>
          <w:szCs w:val="32"/>
        </w:rPr>
        <w:t>16</w:t>
      </w:r>
      <w:r>
        <w:rPr>
          <w:rFonts w:hint="eastAsia" w:ascii="仿宋" w:hAnsi="仿宋" w:eastAsia="仿宋" w:cs="仿宋"/>
          <w:sz w:val="32"/>
          <w:szCs w:val="32"/>
        </w:rPr>
        <w:t>万元 ,合同未签订时间。</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2.项目建设进度滞后。</w:t>
      </w:r>
      <w:r>
        <w:rPr>
          <w:rFonts w:hint="eastAsia" w:ascii="仿宋" w:hAnsi="仿宋" w:eastAsia="仿宋" w:cs="仿宋"/>
          <w:sz w:val="32"/>
          <w:szCs w:val="32"/>
        </w:rPr>
        <w:t>根据邵阳市本级2021年园区建设专项债券邵阳经济开发区光学光电制造生产基地建设项目预期收益与融资平衡方案计划项目建设期为2020年8月至2021年12月，实际完成时间为2022年6月，未按计划时间完成建设。</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3.项目在取得规划与施工许可两证前先行施工。</w:t>
      </w:r>
      <w:r>
        <w:rPr>
          <w:rFonts w:hint="eastAsia" w:ascii="仿宋" w:hAnsi="仿宋" w:eastAsia="仿宋" w:cs="仿宋"/>
          <w:sz w:val="32"/>
          <w:szCs w:val="32"/>
        </w:rPr>
        <w:t>邵阳经济开发区光电光学制生产基地建设项目于2020年6月30日开工； 邵阳经开区光电光学无尘室车间装修工程于2021年11月15日开工。 宝城投2021年10月才取得邵阳市自然资源和规划局颁发的建设工程规划许可证；2022年2月才取得</w:t>
      </w:r>
      <w:bookmarkStart w:id="134" w:name="_Hlk142225462"/>
      <w:r>
        <w:rPr>
          <w:rFonts w:hint="eastAsia" w:ascii="仿宋" w:hAnsi="仿宋" w:eastAsia="仿宋" w:cs="仿宋"/>
          <w:sz w:val="32"/>
          <w:szCs w:val="32"/>
        </w:rPr>
        <w:t>建设工程施工许可证</w:t>
      </w:r>
      <w:bookmarkEnd w:id="134"/>
      <w:r>
        <w:rPr>
          <w:rFonts w:hint="eastAsia" w:ascii="仿宋" w:hAnsi="仿宋" w:eastAsia="仿宋" w:cs="仿宋"/>
          <w:sz w:val="32"/>
          <w:szCs w:val="32"/>
        </w:rPr>
        <w:t>（项目已完工，补办手续）。</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4.部分设计不合理，造成资金浪费。</w:t>
      </w:r>
      <w:r>
        <w:rPr>
          <w:rFonts w:hint="eastAsia" w:ascii="仿宋" w:hAnsi="仿宋" w:eastAsia="仿宋" w:cs="仿宋"/>
          <w:sz w:val="32"/>
          <w:szCs w:val="32"/>
        </w:rPr>
        <w:t>评价组现场勘察时发现，因规划设计缺陷，东门卫楼不能使用，造成东门卫楼造价约8万元的资金浪费。</w:t>
      </w:r>
    </w:p>
    <w:p>
      <w:pPr>
        <w:spacing w:line="560" w:lineRule="exact"/>
        <w:ind w:firstLine="643" w:firstLineChars="200"/>
        <w:outlineLvl w:val="0"/>
        <w:rPr>
          <w:rFonts w:ascii="仿宋" w:hAnsi="仿宋" w:eastAsia="仿宋" w:cs="仿宋"/>
          <w:sz w:val="32"/>
          <w:szCs w:val="32"/>
        </w:rPr>
      </w:pPr>
      <w:bookmarkStart w:id="135" w:name="_Toc2780"/>
      <w:bookmarkStart w:id="136" w:name="_Toc2482"/>
      <w:bookmarkStart w:id="137" w:name="_Toc1061"/>
      <w:bookmarkStart w:id="138" w:name="_Toc21612"/>
      <w:r>
        <w:rPr>
          <w:rFonts w:hint="eastAsia" w:ascii="仿宋" w:hAnsi="仿宋" w:eastAsia="仿宋" w:cs="仿宋"/>
          <w:b/>
          <w:bCs/>
          <w:sz w:val="32"/>
          <w:szCs w:val="32"/>
        </w:rPr>
        <w:t>5.化整为零进行招投标，造成资金浪费。</w:t>
      </w:r>
      <w:r>
        <w:rPr>
          <w:rFonts w:hint="eastAsia" w:ascii="仿宋" w:hAnsi="仿宋" w:eastAsia="仿宋" w:cs="仿宋"/>
          <w:sz w:val="32"/>
          <w:szCs w:val="32"/>
        </w:rPr>
        <w:t>2019年1月宝城投(甲方)、广东北创光电科技股份有限公司（乙方）及邵阳经济开发区管理委员会（丙方），三方签订了《光学镜头镜片生产加工项目补充协议》，协议已明确甲方代建厂房的标准为:标准厂房及其基本装修、办公楼、宿舍楼及厂区内外水电气学基础设施及绿化、消防、安全、4000平方米无尘车间装修。甲方在厂房代建过程中，主体施工拆分成三次进行采购，其中：2#厂房采用邀请招标的方式进行采购； 1＃厂房研发楼、宿舍楼、变电房、污水处理机房、南门卫、东门卫、室外工程和4000平方米无尘车间装修分开进行公开招标采购。1＃厂房的第二和第四层基本装修完成后，又招标进行无尘车间装修，基本上损失了1#厂房第二层和四层基本装修的资金，同时又增加了无尘车间装修的设计、招标代理费等其他资金支出。</w:t>
      </w:r>
      <w:bookmarkEnd w:id="135"/>
      <w:bookmarkEnd w:id="136"/>
      <w:bookmarkEnd w:id="137"/>
      <w:bookmarkEnd w:id="138"/>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39" w:name="_Toc20964"/>
      <w:r>
        <w:rPr>
          <w:rFonts w:hint="eastAsia" w:ascii="黑体" w:hAnsi="黑体" w:eastAsia="黑体" w:cs="黑体"/>
          <w:b/>
          <w:bCs/>
          <w:color w:val="000000"/>
          <w:sz w:val="32"/>
          <w:szCs w:val="32"/>
        </w:rPr>
        <w:t>七、有关建议</w:t>
      </w:r>
      <w:bookmarkEnd w:id="139"/>
    </w:p>
    <w:p>
      <w:pPr>
        <w:spacing w:line="560" w:lineRule="exact"/>
        <w:ind w:firstLine="643" w:firstLineChars="200"/>
        <w:outlineLvl w:val="1"/>
        <w:rPr>
          <w:rFonts w:ascii="楷体" w:hAnsi="楷体" w:eastAsia="楷体" w:cs="楷体"/>
          <w:b/>
          <w:color w:val="000000"/>
          <w:sz w:val="32"/>
          <w:szCs w:val="32"/>
        </w:rPr>
      </w:pPr>
      <w:bookmarkStart w:id="140" w:name="_Toc22722"/>
      <w:bookmarkStart w:id="141" w:name="_Toc8277"/>
      <w:r>
        <w:rPr>
          <w:rFonts w:hint="eastAsia" w:ascii="楷体" w:hAnsi="楷体" w:eastAsia="楷体" w:cs="楷体"/>
          <w:b/>
          <w:color w:val="000000"/>
          <w:sz w:val="32"/>
          <w:szCs w:val="32"/>
        </w:rPr>
        <w:t>（一）重视绩效管理，提高资金使用效益</w:t>
      </w:r>
      <w:bookmarkEnd w:id="140"/>
      <w:bookmarkEnd w:id="141"/>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建议项目单位重视绩效管理工作，加强绩效理论学习，深刻理会绩效管理理念，做好绩效目标申报、绩效运行监控和绩效自评及结果应用等项工作，以提高政府专项债券资金的使用效益。</w:t>
      </w:r>
    </w:p>
    <w:p>
      <w:pPr>
        <w:spacing w:line="560" w:lineRule="exact"/>
        <w:ind w:firstLine="643" w:firstLineChars="200"/>
        <w:outlineLvl w:val="1"/>
        <w:rPr>
          <w:rFonts w:ascii="楷体" w:hAnsi="楷体" w:eastAsia="楷体" w:cs="楷体"/>
          <w:b/>
          <w:color w:val="000000"/>
          <w:sz w:val="32"/>
          <w:szCs w:val="32"/>
        </w:rPr>
      </w:pPr>
      <w:bookmarkStart w:id="142" w:name="_Toc16179"/>
      <w:bookmarkStart w:id="143" w:name="_Toc14969"/>
      <w:r>
        <w:rPr>
          <w:rFonts w:hint="eastAsia" w:ascii="楷体" w:hAnsi="楷体" w:eastAsia="楷体" w:cs="楷体"/>
          <w:b/>
          <w:color w:val="000000"/>
          <w:sz w:val="32"/>
          <w:szCs w:val="32"/>
        </w:rPr>
        <w:t>（二）规范专项资金使用管理，提高使用效益</w:t>
      </w:r>
      <w:bookmarkEnd w:id="142"/>
      <w:bookmarkEnd w:id="14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定期梳理资金管理内控制度的建设情况，根据存在的内控建设缺陷完善单位内控管理制度，提高现有资金管理制度的可操作性；按照“项目批到哪里，责任就跟到哪里”以及“资金流到哪里，监管就跟到哪里”的原则，加强内部监督检查及外部审计的频率，强化资金问责制，确保资金使用合规。</w:t>
      </w:r>
    </w:p>
    <w:p>
      <w:pPr>
        <w:spacing w:line="560" w:lineRule="exact"/>
        <w:ind w:firstLine="643" w:firstLineChars="200"/>
        <w:outlineLvl w:val="1"/>
        <w:rPr>
          <w:rFonts w:ascii="楷体" w:hAnsi="楷体" w:eastAsia="楷体" w:cs="楷体"/>
          <w:b/>
          <w:color w:val="000000"/>
          <w:sz w:val="32"/>
          <w:szCs w:val="32"/>
        </w:rPr>
      </w:pPr>
      <w:bookmarkStart w:id="144" w:name="_Toc11248"/>
      <w:bookmarkStart w:id="145" w:name="_Toc11761"/>
      <w:r>
        <w:rPr>
          <w:rFonts w:hint="eastAsia" w:ascii="楷体" w:hAnsi="楷体" w:eastAsia="楷体" w:cs="楷体"/>
          <w:b/>
          <w:color w:val="000000"/>
          <w:sz w:val="32"/>
          <w:szCs w:val="32"/>
        </w:rPr>
        <w:t>（三）加强项目管理</w:t>
      </w:r>
      <w:bookmarkEnd w:id="144"/>
      <w:bookmarkEnd w:id="145"/>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建议进一步完善项目管理制度，加强项目监控；定期召开项目进度汇报会议，及时了解项目实施中出现的问题，分析原因并尽快解决，以保证项目按时按质完成；按国家规定严格履行项目招标和政府采购的相关程序；重视项目合同整理与档案管理等项工作。此外，因项目实施条件变化等原因导致专项债券资金无法及时有效使用时，应及时上报主管部门，按照《地方政府专项债券用途调整操作指引》的相关规定予以调整。</w:t>
      </w:r>
      <w:bookmarkStart w:id="146" w:name="_GoBack"/>
      <w:bookmarkEnd w:id="146"/>
    </w:p>
    <w:sectPr>
      <w:footerReference r:id="rId3" w:type="default"/>
      <w:pgSz w:w="11906" w:h="16838"/>
      <w:pgMar w:top="1417"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A1812D-2869-4392-B835-31D406C472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2" w:fontKey="{C7194944-C83D-4DED-92D0-FB7F7BD32815}"/>
  </w:font>
  <w:font w:name="仿宋_GB2312">
    <w:panose1 w:val="02010609030101010101"/>
    <w:charset w:val="86"/>
    <w:family w:val="modern"/>
    <w:pitch w:val="default"/>
    <w:sig w:usb0="00000001" w:usb1="080E0000" w:usb2="00000000" w:usb3="00000000" w:csb0="00040000" w:csb1="00000000"/>
    <w:embedRegular r:id="rId3" w:fontKey="{DDDAA3B4-6BC0-4F11-8B9B-1DBAD8E22FC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4" w:fontKey="{2C4C9FB5-11E4-46BA-B633-22501A375A5C}"/>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A6664D"/>
    <w:multiLevelType w:val="multilevel"/>
    <w:tmpl w:val="69A6664D"/>
    <w:lvl w:ilvl="0" w:tentative="0">
      <w:start w:val="1"/>
      <w:numFmt w:val="chineseCountingThousand"/>
      <w:lvlText w:val="第%1章"/>
      <w:lvlJc w:val="left"/>
      <w:pPr>
        <w:ind w:left="425" w:hanging="425"/>
      </w:pPr>
      <w:rPr>
        <w:rFonts w:hint="eastAsia"/>
      </w:rPr>
    </w:lvl>
    <w:lvl w:ilvl="1" w:tentative="0">
      <w:start w:val="1"/>
      <w:numFmt w:val="decimal"/>
      <w:isLgl/>
      <w:suff w:val="space"/>
      <w:lvlText w:val="%1.%2"/>
      <w:lvlJc w:val="left"/>
      <w:pPr>
        <w:ind w:left="709" w:hanging="709"/>
      </w:pPr>
      <w:rPr>
        <w:rFonts w:hint="eastAsia"/>
      </w:rPr>
    </w:lvl>
    <w:lvl w:ilvl="2" w:tentative="0">
      <w:start w:val="1"/>
      <w:numFmt w:val="decimal"/>
      <w:pStyle w:val="4"/>
      <w:isLgl/>
      <w:suff w:val="space"/>
      <w:lvlText w:val="%1.%2.%3"/>
      <w:lvlJc w:val="left"/>
      <w:pPr>
        <w:ind w:left="0" w:firstLine="284"/>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8432FA2"/>
    <w:rsid w:val="000E02F8"/>
    <w:rsid w:val="00145A69"/>
    <w:rsid w:val="0015020B"/>
    <w:rsid w:val="00192A81"/>
    <w:rsid w:val="001E6A09"/>
    <w:rsid w:val="0021339D"/>
    <w:rsid w:val="00243CBF"/>
    <w:rsid w:val="0024438E"/>
    <w:rsid w:val="00294877"/>
    <w:rsid w:val="00296848"/>
    <w:rsid w:val="00337586"/>
    <w:rsid w:val="00363102"/>
    <w:rsid w:val="003673BF"/>
    <w:rsid w:val="003A3E87"/>
    <w:rsid w:val="003A48C9"/>
    <w:rsid w:val="003C15C5"/>
    <w:rsid w:val="00451AF5"/>
    <w:rsid w:val="0046651A"/>
    <w:rsid w:val="004D3417"/>
    <w:rsid w:val="00513264"/>
    <w:rsid w:val="00531793"/>
    <w:rsid w:val="005412D1"/>
    <w:rsid w:val="0055681C"/>
    <w:rsid w:val="005D41E2"/>
    <w:rsid w:val="005D7CD3"/>
    <w:rsid w:val="00600FBA"/>
    <w:rsid w:val="00652A2E"/>
    <w:rsid w:val="00687A6E"/>
    <w:rsid w:val="006A1CAA"/>
    <w:rsid w:val="006C1C12"/>
    <w:rsid w:val="006F2B63"/>
    <w:rsid w:val="0070631D"/>
    <w:rsid w:val="00775F28"/>
    <w:rsid w:val="007A6FC3"/>
    <w:rsid w:val="007D30B7"/>
    <w:rsid w:val="008252C3"/>
    <w:rsid w:val="008A2009"/>
    <w:rsid w:val="008B5BC7"/>
    <w:rsid w:val="008D0176"/>
    <w:rsid w:val="008D423D"/>
    <w:rsid w:val="00907004"/>
    <w:rsid w:val="00932F6C"/>
    <w:rsid w:val="00942222"/>
    <w:rsid w:val="009A0ED5"/>
    <w:rsid w:val="009B6A17"/>
    <w:rsid w:val="009C7BBC"/>
    <w:rsid w:val="009D47D0"/>
    <w:rsid w:val="009D67F5"/>
    <w:rsid w:val="009E29FD"/>
    <w:rsid w:val="00A85D61"/>
    <w:rsid w:val="00B35B4E"/>
    <w:rsid w:val="00B440E9"/>
    <w:rsid w:val="00B73065"/>
    <w:rsid w:val="00C1052C"/>
    <w:rsid w:val="00D042A0"/>
    <w:rsid w:val="00D63969"/>
    <w:rsid w:val="00E069B6"/>
    <w:rsid w:val="00E16D84"/>
    <w:rsid w:val="00E8015C"/>
    <w:rsid w:val="00EA171A"/>
    <w:rsid w:val="00F05987"/>
    <w:rsid w:val="00F25157"/>
    <w:rsid w:val="00F57ADE"/>
    <w:rsid w:val="00F91DC2"/>
    <w:rsid w:val="00FA2DE9"/>
    <w:rsid w:val="00FE53D9"/>
    <w:rsid w:val="012375FA"/>
    <w:rsid w:val="0149044B"/>
    <w:rsid w:val="014F4893"/>
    <w:rsid w:val="01F80A87"/>
    <w:rsid w:val="0218328A"/>
    <w:rsid w:val="025331D6"/>
    <w:rsid w:val="029A7D90"/>
    <w:rsid w:val="03486F55"/>
    <w:rsid w:val="035B12CD"/>
    <w:rsid w:val="056A57F8"/>
    <w:rsid w:val="06102631"/>
    <w:rsid w:val="061B5794"/>
    <w:rsid w:val="06D55A5A"/>
    <w:rsid w:val="07373E14"/>
    <w:rsid w:val="07930A17"/>
    <w:rsid w:val="079364BB"/>
    <w:rsid w:val="079A7907"/>
    <w:rsid w:val="07B44177"/>
    <w:rsid w:val="07B67A51"/>
    <w:rsid w:val="07CC3E1F"/>
    <w:rsid w:val="07CF5DE6"/>
    <w:rsid w:val="08204893"/>
    <w:rsid w:val="087975F5"/>
    <w:rsid w:val="08C23B9D"/>
    <w:rsid w:val="08C5765D"/>
    <w:rsid w:val="09A810D5"/>
    <w:rsid w:val="0A0843AE"/>
    <w:rsid w:val="0A7A7FDF"/>
    <w:rsid w:val="0AA54EB7"/>
    <w:rsid w:val="0B4765DB"/>
    <w:rsid w:val="0BC709C7"/>
    <w:rsid w:val="0C2C5343"/>
    <w:rsid w:val="0C56207D"/>
    <w:rsid w:val="0C8A677F"/>
    <w:rsid w:val="0CAA5073"/>
    <w:rsid w:val="0DE0271F"/>
    <w:rsid w:val="0F5B3716"/>
    <w:rsid w:val="0FAB538A"/>
    <w:rsid w:val="0FD526AC"/>
    <w:rsid w:val="0FF46D31"/>
    <w:rsid w:val="10393271"/>
    <w:rsid w:val="10B16B47"/>
    <w:rsid w:val="130A1033"/>
    <w:rsid w:val="130D2DA4"/>
    <w:rsid w:val="13607553"/>
    <w:rsid w:val="13816B3A"/>
    <w:rsid w:val="13C22CA3"/>
    <w:rsid w:val="13ED3253"/>
    <w:rsid w:val="169A3A63"/>
    <w:rsid w:val="16D927DD"/>
    <w:rsid w:val="182A0E16"/>
    <w:rsid w:val="1840063A"/>
    <w:rsid w:val="18432FA2"/>
    <w:rsid w:val="185F1DC6"/>
    <w:rsid w:val="186474C4"/>
    <w:rsid w:val="189864F9"/>
    <w:rsid w:val="19C21992"/>
    <w:rsid w:val="19ED659F"/>
    <w:rsid w:val="1A7A76C6"/>
    <w:rsid w:val="1B4768B2"/>
    <w:rsid w:val="1B557B2C"/>
    <w:rsid w:val="1B64307D"/>
    <w:rsid w:val="1C510253"/>
    <w:rsid w:val="1C60187A"/>
    <w:rsid w:val="1C6C5EA1"/>
    <w:rsid w:val="1D13456F"/>
    <w:rsid w:val="1D4258A0"/>
    <w:rsid w:val="1EAF1567"/>
    <w:rsid w:val="1F374D1F"/>
    <w:rsid w:val="1F5437FC"/>
    <w:rsid w:val="205E34B7"/>
    <w:rsid w:val="213B4A6F"/>
    <w:rsid w:val="2179093B"/>
    <w:rsid w:val="219A642B"/>
    <w:rsid w:val="23A81EB5"/>
    <w:rsid w:val="24B93C4E"/>
    <w:rsid w:val="24BD373E"/>
    <w:rsid w:val="25286FA6"/>
    <w:rsid w:val="25754238"/>
    <w:rsid w:val="265359DC"/>
    <w:rsid w:val="28BB61E6"/>
    <w:rsid w:val="291E3086"/>
    <w:rsid w:val="298365D8"/>
    <w:rsid w:val="299B54DA"/>
    <w:rsid w:val="29BE4897"/>
    <w:rsid w:val="29E96760"/>
    <w:rsid w:val="29F83109"/>
    <w:rsid w:val="2A2D479B"/>
    <w:rsid w:val="2A3C176A"/>
    <w:rsid w:val="2A5D3814"/>
    <w:rsid w:val="2AC67B04"/>
    <w:rsid w:val="2B2A5743"/>
    <w:rsid w:val="2B797C93"/>
    <w:rsid w:val="2B911481"/>
    <w:rsid w:val="2B9A0C20"/>
    <w:rsid w:val="2C6D3C9C"/>
    <w:rsid w:val="2C9D593E"/>
    <w:rsid w:val="2D5D0233"/>
    <w:rsid w:val="2D9E74B8"/>
    <w:rsid w:val="2E3507E9"/>
    <w:rsid w:val="2E7B086A"/>
    <w:rsid w:val="2EC41D38"/>
    <w:rsid w:val="2EF903B9"/>
    <w:rsid w:val="30A80F5D"/>
    <w:rsid w:val="31033685"/>
    <w:rsid w:val="31344B59"/>
    <w:rsid w:val="32333D6D"/>
    <w:rsid w:val="325D12BB"/>
    <w:rsid w:val="328D608E"/>
    <w:rsid w:val="32C0577D"/>
    <w:rsid w:val="33A86E22"/>
    <w:rsid w:val="35951DFA"/>
    <w:rsid w:val="35C3492C"/>
    <w:rsid w:val="369B2FE3"/>
    <w:rsid w:val="3763389D"/>
    <w:rsid w:val="377D5E4E"/>
    <w:rsid w:val="37B0332E"/>
    <w:rsid w:val="384F06F9"/>
    <w:rsid w:val="390B2935"/>
    <w:rsid w:val="39912B88"/>
    <w:rsid w:val="3A421567"/>
    <w:rsid w:val="3A946989"/>
    <w:rsid w:val="3B755153"/>
    <w:rsid w:val="3C1A5EEB"/>
    <w:rsid w:val="3C267481"/>
    <w:rsid w:val="3C404B15"/>
    <w:rsid w:val="3D29776B"/>
    <w:rsid w:val="3DFC3689"/>
    <w:rsid w:val="3E2148E6"/>
    <w:rsid w:val="3E277456"/>
    <w:rsid w:val="3E864F17"/>
    <w:rsid w:val="3E962118"/>
    <w:rsid w:val="3EAA6689"/>
    <w:rsid w:val="3FCF41E2"/>
    <w:rsid w:val="3FD80FD4"/>
    <w:rsid w:val="411F155C"/>
    <w:rsid w:val="412C4711"/>
    <w:rsid w:val="416703A1"/>
    <w:rsid w:val="418256BE"/>
    <w:rsid w:val="41BD22E9"/>
    <w:rsid w:val="41FA4D69"/>
    <w:rsid w:val="427F4427"/>
    <w:rsid w:val="42870A90"/>
    <w:rsid w:val="42E65AA7"/>
    <w:rsid w:val="42F41CBF"/>
    <w:rsid w:val="43FB625C"/>
    <w:rsid w:val="446E0337"/>
    <w:rsid w:val="456E441F"/>
    <w:rsid w:val="45932F1D"/>
    <w:rsid w:val="45A1206D"/>
    <w:rsid w:val="45F64C89"/>
    <w:rsid w:val="47256B4B"/>
    <w:rsid w:val="47AD2D46"/>
    <w:rsid w:val="47B91094"/>
    <w:rsid w:val="48383005"/>
    <w:rsid w:val="48500DF2"/>
    <w:rsid w:val="4859474F"/>
    <w:rsid w:val="48FF18FD"/>
    <w:rsid w:val="49177011"/>
    <w:rsid w:val="49A776CE"/>
    <w:rsid w:val="4A0167DC"/>
    <w:rsid w:val="4B1A0FF0"/>
    <w:rsid w:val="4CDB04BE"/>
    <w:rsid w:val="4D7E2B2B"/>
    <w:rsid w:val="4D96356C"/>
    <w:rsid w:val="4D981DA3"/>
    <w:rsid w:val="4DD54DA5"/>
    <w:rsid w:val="4E9B1B4B"/>
    <w:rsid w:val="4EE77EEA"/>
    <w:rsid w:val="4F6D22EF"/>
    <w:rsid w:val="4F786A15"/>
    <w:rsid w:val="4FED287A"/>
    <w:rsid w:val="501F5A33"/>
    <w:rsid w:val="507D6957"/>
    <w:rsid w:val="50926A63"/>
    <w:rsid w:val="516218D8"/>
    <w:rsid w:val="51914D05"/>
    <w:rsid w:val="51FA7CAD"/>
    <w:rsid w:val="526E6DD2"/>
    <w:rsid w:val="531E4896"/>
    <w:rsid w:val="536734E1"/>
    <w:rsid w:val="53B611D5"/>
    <w:rsid w:val="53CC5CA6"/>
    <w:rsid w:val="53ED612A"/>
    <w:rsid w:val="54843081"/>
    <w:rsid w:val="549174AD"/>
    <w:rsid w:val="54CE0CB3"/>
    <w:rsid w:val="56023315"/>
    <w:rsid w:val="569D583D"/>
    <w:rsid w:val="56BB7693"/>
    <w:rsid w:val="56D27204"/>
    <w:rsid w:val="56D5527D"/>
    <w:rsid w:val="572B1F0C"/>
    <w:rsid w:val="58A87C3E"/>
    <w:rsid w:val="59594BFF"/>
    <w:rsid w:val="599F7626"/>
    <w:rsid w:val="5A5E426A"/>
    <w:rsid w:val="5A6D1F75"/>
    <w:rsid w:val="5C9B3A59"/>
    <w:rsid w:val="5DE132F2"/>
    <w:rsid w:val="5DE2770D"/>
    <w:rsid w:val="5E7E71F5"/>
    <w:rsid w:val="5F5C0E82"/>
    <w:rsid w:val="5FC51EF3"/>
    <w:rsid w:val="600B28A8"/>
    <w:rsid w:val="60376ECE"/>
    <w:rsid w:val="614875C9"/>
    <w:rsid w:val="619E0691"/>
    <w:rsid w:val="62413E1E"/>
    <w:rsid w:val="62A10326"/>
    <w:rsid w:val="63AD7823"/>
    <w:rsid w:val="63BA7F95"/>
    <w:rsid w:val="63FF0845"/>
    <w:rsid w:val="64126578"/>
    <w:rsid w:val="65F46C17"/>
    <w:rsid w:val="662A607A"/>
    <w:rsid w:val="66355034"/>
    <w:rsid w:val="665B3080"/>
    <w:rsid w:val="66DD69D1"/>
    <w:rsid w:val="67503DB5"/>
    <w:rsid w:val="675577F7"/>
    <w:rsid w:val="689466BA"/>
    <w:rsid w:val="6905258B"/>
    <w:rsid w:val="69632FCE"/>
    <w:rsid w:val="69B35CD8"/>
    <w:rsid w:val="6A060481"/>
    <w:rsid w:val="6A386990"/>
    <w:rsid w:val="6A5E1108"/>
    <w:rsid w:val="6AC30C71"/>
    <w:rsid w:val="6C691BD8"/>
    <w:rsid w:val="6C7F2654"/>
    <w:rsid w:val="6C8B2DA7"/>
    <w:rsid w:val="6C8B3195"/>
    <w:rsid w:val="6DD33A2F"/>
    <w:rsid w:val="6E14501E"/>
    <w:rsid w:val="6E250FD9"/>
    <w:rsid w:val="6E552EF6"/>
    <w:rsid w:val="6F63000B"/>
    <w:rsid w:val="6F6B34E8"/>
    <w:rsid w:val="715D2F7B"/>
    <w:rsid w:val="715F2A54"/>
    <w:rsid w:val="717A4A0A"/>
    <w:rsid w:val="71EC3A56"/>
    <w:rsid w:val="72315905"/>
    <w:rsid w:val="727F03E4"/>
    <w:rsid w:val="730B2EE3"/>
    <w:rsid w:val="732001BC"/>
    <w:rsid w:val="73334198"/>
    <w:rsid w:val="73781BAB"/>
    <w:rsid w:val="737F73DD"/>
    <w:rsid w:val="742B3231"/>
    <w:rsid w:val="742F670E"/>
    <w:rsid w:val="748E5B2A"/>
    <w:rsid w:val="74AE3AD6"/>
    <w:rsid w:val="74E077D3"/>
    <w:rsid w:val="752C0E9F"/>
    <w:rsid w:val="756A63D1"/>
    <w:rsid w:val="75DC74CC"/>
    <w:rsid w:val="76480A50"/>
    <w:rsid w:val="76530DD9"/>
    <w:rsid w:val="76595BB7"/>
    <w:rsid w:val="76B146D9"/>
    <w:rsid w:val="77E12415"/>
    <w:rsid w:val="77FA73B0"/>
    <w:rsid w:val="795F2C47"/>
    <w:rsid w:val="797D616D"/>
    <w:rsid w:val="79894B12"/>
    <w:rsid w:val="7A9D3D1B"/>
    <w:rsid w:val="7B241751"/>
    <w:rsid w:val="7B272834"/>
    <w:rsid w:val="7B937ECA"/>
    <w:rsid w:val="7BC119A5"/>
    <w:rsid w:val="7D6628B2"/>
    <w:rsid w:val="7DA4016C"/>
    <w:rsid w:val="7E4F3834"/>
    <w:rsid w:val="7F4F4108"/>
    <w:rsid w:val="7FD05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qFormat="1" w:unhideWhenUsed="0" w:uiPriority="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1"/>
    <w:pPr>
      <w:spacing w:before="43"/>
      <w:ind w:left="760"/>
      <w:outlineLvl w:val="0"/>
    </w:pPr>
    <w:rPr>
      <w:rFonts w:ascii="楷体" w:hAnsi="楷体" w:eastAsia="楷体" w:cs="楷体"/>
      <w:b/>
      <w:bCs/>
      <w:sz w:val="32"/>
      <w:szCs w:val="32"/>
    </w:rPr>
  </w:style>
  <w:style w:type="paragraph" w:styleId="4">
    <w:name w:val="heading 3"/>
    <w:basedOn w:val="1"/>
    <w:next w:val="1"/>
    <w:unhideWhenUsed/>
    <w:qFormat/>
    <w:uiPriority w:val="9"/>
    <w:pPr>
      <w:keepNext/>
      <w:keepLines/>
      <w:numPr>
        <w:ilvl w:val="2"/>
        <w:numId w:val="1"/>
      </w:numPr>
      <w:spacing w:before="35" w:beforeLines="35" w:line="360" w:lineRule="auto"/>
      <w:jc w:val="left"/>
      <w:outlineLvl w:val="2"/>
    </w:pPr>
    <w:rPr>
      <w:rFonts w:ascii="Calibri" w:hAnsi="Calibri"/>
      <w:b/>
      <w:bCs/>
      <w:sz w:val="28"/>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5">
    <w:name w:val="annotation text"/>
    <w:basedOn w:val="1"/>
    <w:link w:val="19"/>
    <w:qFormat/>
    <w:uiPriority w:val="0"/>
    <w:pPr>
      <w:jc w:val="left"/>
    </w:pPr>
  </w:style>
  <w:style w:type="paragraph" w:styleId="6">
    <w:name w:val="Body Text"/>
    <w:basedOn w:val="1"/>
    <w:next w:val="7"/>
    <w:qFormat/>
    <w:uiPriority w:val="1"/>
    <w:pPr>
      <w:ind w:left="120"/>
    </w:pPr>
    <w:rPr>
      <w:rFonts w:ascii="仿宋_GB2312" w:hAnsi="仿宋_GB2312" w:eastAsia="仿宋_GB2312" w:cs="仿宋_GB2312"/>
      <w:sz w:val="32"/>
      <w:szCs w:val="32"/>
    </w:rPr>
  </w:style>
  <w:style w:type="paragraph" w:styleId="7">
    <w:name w:val="toc 5"/>
    <w:next w:val="1"/>
    <w:semiHidden/>
    <w:qFormat/>
    <w:uiPriority w:val="0"/>
    <w:pPr>
      <w:widowControl w:val="0"/>
      <w:ind w:left="1680" w:leftChars="800"/>
      <w:jc w:val="both"/>
    </w:pPr>
    <w:rPr>
      <w:rFonts w:ascii="Times New Roman" w:hAnsi="Times New Roman" w:eastAsia="宋体" w:cs="Times New Roman"/>
      <w:kern w:val="2"/>
      <w:sz w:val="21"/>
      <w:szCs w:val="24"/>
      <w:lang w:val="en-US" w:eastAsia="zh-CN" w:bidi="ar-SA"/>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character" w:styleId="15">
    <w:name w:val="annotation reference"/>
    <w:basedOn w:val="14"/>
    <w:qFormat/>
    <w:uiPriority w:val="0"/>
    <w:rPr>
      <w:sz w:val="21"/>
      <w:szCs w:val="21"/>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table" w:customStyle="1" w:styleId="18">
    <w:name w:val="Table Normal"/>
    <w:semiHidden/>
    <w:unhideWhenUsed/>
    <w:qFormat/>
    <w:uiPriority w:val="0"/>
    <w:tblPr>
      <w:tblCellMar>
        <w:top w:w="0" w:type="dxa"/>
        <w:left w:w="0" w:type="dxa"/>
        <w:bottom w:w="0" w:type="dxa"/>
        <w:right w:w="0" w:type="dxa"/>
      </w:tblCellMar>
    </w:tblPr>
  </w:style>
  <w:style w:type="character" w:customStyle="1" w:styleId="19">
    <w:name w:val="批注文字 字符"/>
    <w:basedOn w:val="14"/>
    <w:link w:val="5"/>
    <w:qFormat/>
    <w:uiPriority w:val="0"/>
    <w:rPr>
      <w:kern w:val="2"/>
      <w:sz w:val="21"/>
      <w:szCs w:val="24"/>
    </w:rPr>
  </w:style>
  <w:style w:type="paragraph" w:customStyle="1" w:styleId="20">
    <w:name w:val="正文2缩进"/>
    <w:basedOn w:val="1"/>
    <w:qFormat/>
    <w:uiPriority w:val="0"/>
    <w:pPr>
      <w:spacing w:line="336" w:lineRule="auto"/>
      <w:ind w:firstLine="561"/>
      <w:textAlignment w:val="center"/>
    </w:pPr>
    <w:rPr>
      <w:rFonts w:eastAsia="华文楷体"/>
      <w:sz w:val="28"/>
      <w:szCs w:val="22"/>
    </w:rPr>
  </w:style>
  <w:style w:type="paragraph" w:customStyle="1" w:styleId="21">
    <w:name w:val="WPSOffice手动目录 3"/>
    <w:qFormat/>
    <w:uiPriority w:val="0"/>
    <w:pPr>
      <w:ind w:leftChars="400"/>
    </w:pPr>
    <w:rPr>
      <w:rFonts w:ascii="Times New Roman" w:hAnsi="Times New Roman" w:eastAsia="宋体" w:cs="Times New Roman"/>
      <w:sz w:val="20"/>
      <w:szCs w:val="20"/>
    </w:rPr>
  </w:style>
  <w:style w:type="paragraph" w:customStyle="1" w:styleId="22">
    <w:name w:val="正文首行缩进1"/>
    <w:basedOn w:val="1"/>
    <w:qFormat/>
    <w:uiPriority w:val="0"/>
    <w:pPr>
      <w:spacing w:after="120"/>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8239</Words>
  <Characters>8966</Characters>
  <Lines>77</Lines>
  <Paragraphs>21</Paragraphs>
  <TotalTime>4</TotalTime>
  <ScaleCrop>false</ScaleCrop>
  <LinksUpToDate>false</LinksUpToDate>
  <CharactersWithSpaces>9241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2020-08-20T09:11:00Z</dcterms:created>
  <dc:creator>Administrator</dc:creator>
  <cp:lastModifiedBy>双双</cp:lastModifiedBy>
  <dcterms:modified xsi:type="dcterms:W3CDTF">2023-10-17T07:05:48Z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1E84147E6A8F44349FD6C049AEBEC4D2_13</vt:lpwstr>
  </property>
</Properties>
</file>